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Pr="00CC188A" w:rsidRDefault="006A0D14" w:rsidP="00494517">
      <w:pPr>
        <w:bidi/>
        <w:rPr>
          <w:lang w:val="en-GB"/>
        </w:rPr>
      </w:pPr>
      <w:r w:rsidRPr="00CC188A">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C188A">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4B286540" w:rsidR="00EA546B" w:rsidRPr="008C14DA" w:rsidRDefault="00494517" w:rsidP="00494517">
      <w:pPr>
        <w:pStyle w:val="Heading9"/>
        <w:bidi/>
        <w:rPr>
          <w:i/>
          <w:iCs w:val="0"/>
          <w:sz w:val="52"/>
          <w:szCs w:val="52"/>
          <w:lang w:val="en-GB"/>
        </w:rPr>
      </w:pPr>
      <w:bookmarkStart w:id="0" w:name="_Toc522623217"/>
      <w:r w:rsidRPr="00494517">
        <w:rPr>
          <w:rFonts w:hint="cs"/>
          <w:i/>
          <w:iCs w:val="0"/>
          <w:sz w:val="56"/>
          <w:szCs w:val="56"/>
          <w:rtl/>
          <w:lang w:val="en-GB"/>
        </w:rPr>
        <w:t xml:space="preserve"> </w:t>
      </w:r>
      <w:r w:rsidRPr="008C14DA">
        <w:rPr>
          <w:rFonts w:hint="cs"/>
          <w:i/>
          <w:iCs w:val="0"/>
          <w:sz w:val="52"/>
          <w:szCs w:val="52"/>
          <w:rtl/>
          <w:lang w:val="en-GB"/>
        </w:rPr>
        <w:t>قائمة التحقّق من ترسيخ المعايير الدنيا لحماية الطفل في المنظومة: مجموعات تنسيق حماية الطفل</w:t>
      </w:r>
    </w:p>
    <w:p w14:paraId="6486336C" w14:textId="77777777" w:rsidR="00EA546B" w:rsidRPr="00CC188A" w:rsidRDefault="00EA546B" w:rsidP="00494517">
      <w:pPr>
        <w:bidi/>
        <w:rPr>
          <w:lang w:val="en-GB"/>
        </w:rPr>
      </w:pPr>
    </w:p>
    <w:bookmarkEnd w:id="0"/>
    <w:p w14:paraId="576BFBB9" w14:textId="20E4EAF3" w:rsidR="007056C9" w:rsidRPr="00CC188A" w:rsidRDefault="00494517" w:rsidP="00494517">
      <w:pPr>
        <w:pStyle w:val="Heading1"/>
        <w:bidi/>
        <w:rPr>
          <w:lang w:val="en-GB"/>
        </w:rPr>
      </w:pPr>
      <w:r>
        <w:rPr>
          <w:rFonts w:hint="cs"/>
          <w:rtl/>
          <w:lang w:val="en-GB"/>
        </w:rPr>
        <w:t xml:space="preserve">ما هو الترسيخ في المنظومة؟ </w:t>
      </w:r>
    </w:p>
    <w:p w14:paraId="583DE994" w14:textId="78570752" w:rsidR="001B49A3" w:rsidRPr="00CC188A" w:rsidRDefault="00FA7464" w:rsidP="005601BC">
      <w:pPr>
        <w:bidi/>
        <w:rPr>
          <w:lang w:val="en-GB"/>
        </w:rPr>
      </w:pPr>
      <w:sdt>
        <w:sdtPr>
          <w:rPr>
            <w:rtl/>
            <w:lang w:val="en-GB"/>
          </w:rPr>
          <w:tag w:val="goog_rdk_4"/>
          <w:id w:val="-238013741"/>
        </w:sdtPr>
        <w:sdtEndPr/>
        <w:sdtContent>
          <w:r w:rsidR="00494517">
            <w:rPr>
              <w:rFonts w:hint="cs"/>
              <w:rtl/>
              <w:lang w:val="en-GB"/>
            </w:rPr>
            <w:t xml:space="preserve">يتمثّل الهدف من المعايير الإنسانية، مثل </w:t>
          </w:r>
          <w:r w:rsidR="00494517" w:rsidRPr="00494517">
            <w:rPr>
              <w:rFonts w:hint="cs"/>
              <w:i/>
              <w:iCs/>
              <w:rtl/>
              <w:lang w:val="en-GB"/>
            </w:rPr>
            <w:t>المعايير الدنيا لحماية الطفل في العمل الإنساني</w:t>
          </w:r>
          <w:r w:rsidR="00494517">
            <w:rPr>
              <w:rFonts w:hint="cs"/>
              <w:rtl/>
              <w:lang w:val="en-GB"/>
            </w:rPr>
            <w:t xml:space="preserve"> </w:t>
          </w:r>
          <w:r w:rsidR="00494517" w:rsidRPr="00CC188A">
            <w:rPr>
              <w:lang w:val="en-GB"/>
            </w:rPr>
            <w:t>CPMS</w:t>
          </w:r>
          <w:r w:rsidR="00494517">
            <w:rPr>
              <w:rFonts w:hint="cs"/>
              <w:rtl/>
              <w:lang w:val="en-GB"/>
            </w:rPr>
            <w:t xml:space="preserve">، في تحسين الجودة والمساءلة. وقد تبلور إصدار عام 2019 بفضل مدخَلات 1300 شخص </w:t>
          </w:r>
          <w:r w:rsidR="00494517">
            <w:rPr>
              <w:rtl/>
              <w:lang w:val="en-GB"/>
            </w:rPr>
            <w:t>–</w:t>
          </w:r>
          <w:r w:rsidR="00494517">
            <w:rPr>
              <w:rFonts w:hint="cs"/>
              <w:rtl/>
              <w:lang w:val="en-GB"/>
            </w:rPr>
            <w:t xml:space="preserve"> اختصاصيون في مجال حماية الطفل، وأكاديميون، وأطفال، وزملاء في المجال الإنساني، ونظراء حكوميون، إلخ. وقد ساهمت فيه 21 مجموعة تنسيق حماية الطفل من حول العالم. بما أنّه ينطوي على هذه البراهين والخبرات المتينة، </w:t>
          </w:r>
          <w:r w:rsidR="005601BC">
            <w:rPr>
              <w:rFonts w:hint="cs"/>
              <w:rtl/>
              <w:lang w:val="en-GB"/>
            </w:rPr>
            <w:t>يتعيّن</w:t>
          </w:r>
          <w:r w:rsidR="00494517">
            <w:rPr>
              <w:rFonts w:hint="cs"/>
              <w:rtl/>
              <w:lang w:val="en-GB"/>
            </w:rPr>
            <w:t xml:space="preserve"> </w:t>
          </w:r>
          <w:r w:rsidR="005601BC">
            <w:rPr>
              <w:rFonts w:hint="cs"/>
              <w:rtl/>
              <w:lang w:val="en-GB"/>
            </w:rPr>
            <w:t>على</w:t>
          </w:r>
          <w:r w:rsidR="00494517">
            <w:rPr>
              <w:rFonts w:hint="cs"/>
              <w:rtl/>
              <w:lang w:val="en-GB"/>
            </w:rPr>
            <w:t xml:space="preserve"> جميع آليات تنسيق حماية الطفل الوطنية ودون الوطنية </w:t>
          </w:r>
          <w:r w:rsidR="005601BC">
            <w:rPr>
              <w:rFonts w:hint="cs"/>
              <w:rtl/>
              <w:lang w:val="en-GB"/>
            </w:rPr>
            <w:t>أن تسعى جاهدة إلى دعم هذه المعايير والمبادئ العشرة التي تستند إليها</w:t>
          </w:r>
          <w:r w:rsidR="00494517">
            <w:rPr>
              <w:rFonts w:hint="cs"/>
              <w:rtl/>
              <w:lang w:val="en-GB"/>
            </w:rPr>
            <w:t xml:space="preserve">، </w:t>
          </w:r>
          <w:r w:rsidR="005601BC">
            <w:rPr>
              <w:rFonts w:hint="cs"/>
              <w:rtl/>
              <w:lang w:val="en-GB"/>
            </w:rPr>
            <w:t>واستخدامها،</w:t>
          </w:r>
          <w:r w:rsidR="00494517">
            <w:rPr>
              <w:rFonts w:hint="cs"/>
              <w:rtl/>
              <w:lang w:val="en-GB"/>
            </w:rPr>
            <w:t xml:space="preserve"> وتعزيز</w:t>
          </w:r>
          <w:r w:rsidR="005601BC">
            <w:rPr>
              <w:rFonts w:hint="cs"/>
              <w:rtl/>
              <w:lang w:val="en-GB"/>
            </w:rPr>
            <w:t>ها</w:t>
          </w:r>
          <w:r w:rsidR="00494517">
            <w:rPr>
              <w:rFonts w:hint="cs"/>
              <w:rtl/>
              <w:lang w:val="en-GB"/>
            </w:rPr>
            <w:t xml:space="preserve"> بشكل</w:t>
          </w:r>
          <w:r w:rsidR="005601BC">
            <w:rPr>
              <w:rFonts w:hint="cs"/>
              <w:rtl/>
              <w:lang w:val="en-GB"/>
            </w:rPr>
            <w:t xml:space="preserve"> ناشط. </w:t>
          </w:r>
        </w:sdtContent>
      </w:sdt>
      <w:sdt>
        <w:sdtPr>
          <w:rPr>
            <w:rtl/>
            <w:lang w:val="en-GB"/>
          </w:rPr>
          <w:tag w:val="goog_rdk_5"/>
          <w:id w:val="-1788192354"/>
          <w:showingPlcHdr/>
        </w:sdtPr>
        <w:sdtEndPr/>
        <w:sdtContent>
          <w:r w:rsidR="001B49A3" w:rsidRPr="00CC188A">
            <w:rPr>
              <w:lang w:val="en-GB"/>
            </w:rPr>
            <w:t xml:space="preserve">     </w:t>
          </w:r>
        </w:sdtContent>
      </w:sdt>
    </w:p>
    <w:sdt>
      <w:sdtPr>
        <w:rPr>
          <w:rtl/>
          <w:lang w:val="en-GB"/>
        </w:rPr>
        <w:tag w:val="goog_rdk_13"/>
        <w:id w:val="16522497"/>
      </w:sdtPr>
      <w:sdtEndPr/>
      <w:sdtContent>
        <w:p w14:paraId="5A36BDD6" w14:textId="783F6B50" w:rsidR="001B49A3" w:rsidRPr="00CC188A" w:rsidRDefault="00FA7464" w:rsidP="0014593B">
          <w:pPr>
            <w:bidi/>
            <w:rPr>
              <w:lang w:val="en-GB"/>
            </w:rPr>
          </w:pPr>
          <w:sdt>
            <w:sdtPr>
              <w:rPr>
                <w:rtl/>
                <w:lang w:val="en-GB"/>
              </w:rPr>
              <w:tag w:val="goog_rdk_12"/>
              <w:id w:val="-1224904597"/>
            </w:sdtPr>
            <w:sdtEndPr/>
            <w:sdtContent>
              <w:r w:rsidR="00644D21">
                <w:rPr>
                  <w:rFonts w:hint="cs"/>
                  <w:rtl/>
                  <w:lang w:val="en-GB"/>
                </w:rPr>
                <w:t xml:space="preserve">إنّ ترسيخ المعايير لدنيا لحماية الطفل في المنظومة يعني إدماجها وتطبيقها منهجيًا في الاستراتيجيات، والسياسات، والإجراءات، والممارسات. فالترسيخ في المنظومة يدعم بشكل مباشر </w:t>
              </w:r>
              <w:r w:rsidR="0014593B">
                <w:rPr>
                  <w:rFonts w:hint="cs"/>
                  <w:rtl/>
                  <w:lang w:val="en-GB"/>
                </w:rPr>
                <w:t>تنفيذ</w:t>
              </w:r>
              <w:r w:rsidR="00644D21">
                <w:rPr>
                  <w:rFonts w:hint="cs"/>
                  <w:rtl/>
                  <w:lang w:val="en-GB"/>
                </w:rPr>
                <w:t xml:space="preserve"> المعايير الدنيا لحماية الطفل من خلال جعلها شرطًا ضروريًا دائمًا. </w:t>
              </w:r>
              <w:r w:rsidR="00842753">
                <w:rPr>
                  <w:rFonts w:hint="cs"/>
                  <w:rtl/>
                  <w:lang w:val="en-GB"/>
                </w:rPr>
                <w:t>ونحن نعقد الأمل على أنّه،</w:t>
              </w:r>
              <w:r w:rsidR="00644D21">
                <w:rPr>
                  <w:rFonts w:hint="cs"/>
                  <w:rtl/>
                  <w:lang w:val="en-GB"/>
                </w:rPr>
                <w:t xml:space="preserve"> </w:t>
              </w:r>
              <w:r w:rsidR="00644D21">
                <w:rPr>
                  <w:rFonts w:hint="cs"/>
                  <w:rtl/>
                </w:rPr>
                <w:t>بعد أن يتمّ ترسيخ المعايير الدنيا لحماية الطفل في المنظومة،</w:t>
              </w:r>
              <w:r w:rsidR="00015AE0">
                <w:rPr>
                  <w:rFonts w:hint="cs"/>
                  <w:rtl/>
                </w:rPr>
                <w:t xml:space="preserve"> لن يكون</w:t>
              </w:r>
              <w:r w:rsidR="00644D21">
                <w:rPr>
                  <w:rFonts w:hint="cs"/>
                  <w:rtl/>
                </w:rPr>
                <w:t xml:space="preserve"> </w:t>
              </w:r>
              <w:r w:rsidR="00842753">
                <w:rPr>
                  <w:rFonts w:hint="cs"/>
                  <w:rtl/>
                </w:rPr>
                <w:t>استخدامها</w:t>
              </w:r>
              <w:r w:rsidR="00644D21">
                <w:rPr>
                  <w:rFonts w:hint="cs"/>
                  <w:rtl/>
                </w:rPr>
                <w:t xml:space="preserve"> مسؤولية إضافية، بل </w:t>
              </w:r>
              <w:r w:rsidR="0014593B">
                <w:rPr>
                  <w:rFonts w:hint="cs"/>
                  <w:rtl/>
                </w:rPr>
                <w:t>س</w:t>
              </w:r>
              <w:r w:rsidR="00644D21">
                <w:rPr>
                  <w:rFonts w:hint="cs"/>
                  <w:rtl/>
                </w:rPr>
                <w:t xml:space="preserve">يصير جزءًا من </w:t>
              </w:r>
              <w:r w:rsidR="00015AE0">
                <w:rPr>
                  <w:rFonts w:hint="cs"/>
                  <w:rtl/>
                </w:rPr>
                <w:t>العمل الفردي</w:t>
              </w:r>
              <w:r w:rsidR="00644D21">
                <w:rPr>
                  <w:rFonts w:hint="cs"/>
                  <w:rtl/>
                </w:rPr>
                <w:t xml:space="preserve"> </w:t>
              </w:r>
              <w:r w:rsidR="00015AE0">
                <w:rPr>
                  <w:rFonts w:hint="cs"/>
                  <w:rtl/>
                </w:rPr>
                <w:t>و</w:t>
              </w:r>
              <w:r w:rsidR="00644D21">
                <w:rPr>
                  <w:rFonts w:hint="cs"/>
                  <w:rtl/>
                </w:rPr>
                <w:t>المؤسّسي</w:t>
              </w:r>
              <w:r w:rsidR="00015AE0">
                <w:rPr>
                  <w:rFonts w:hint="cs"/>
                  <w:rtl/>
                </w:rPr>
                <w:t xml:space="preserve"> لجميع العاملين في مجال حماية الطفل</w:t>
              </w:r>
              <w:r w:rsidR="00644D21">
                <w:rPr>
                  <w:rFonts w:hint="cs"/>
                  <w:rtl/>
                </w:rPr>
                <w:t>.</w:t>
              </w:r>
              <w:r w:rsidR="00A17241" w:rsidRPr="00CC188A">
                <w:rPr>
                  <w:lang w:val="en-GB"/>
                </w:rPr>
                <w:t xml:space="preserve"> </w:t>
              </w:r>
            </w:sdtContent>
          </w:sdt>
        </w:p>
      </w:sdtContent>
    </w:sdt>
    <w:p w14:paraId="35DF5CDD" w14:textId="1FAC2A26" w:rsidR="002522AB" w:rsidRPr="00CC188A" w:rsidRDefault="008F6735" w:rsidP="00494517">
      <w:pPr>
        <w:pStyle w:val="Heading1"/>
        <w:bidi/>
        <w:rPr>
          <w:lang w:val="en-GB"/>
        </w:rPr>
      </w:pPr>
      <w:r>
        <w:rPr>
          <w:rFonts w:hint="cs"/>
          <w:rtl/>
          <w:lang w:val="en-GB"/>
        </w:rPr>
        <w:t>قائمة تحقّق لمجموعات تنسيق حماية الطفل</w:t>
      </w:r>
    </w:p>
    <w:p w14:paraId="4E5F033C" w14:textId="23473C76" w:rsidR="00DC24B0" w:rsidRPr="007C6C03" w:rsidRDefault="008F6735" w:rsidP="00494517">
      <w:pPr>
        <w:bidi/>
        <w:rPr>
          <w:b/>
          <w:bCs/>
          <w:lang w:val="en-GB"/>
        </w:rPr>
      </w:pPr>
      <w:r w:rsidRPr="007C6C03">
        <w:rPr>
          <w:rStyle w:val="Heading2Char"/>
          <w:rFonts w:hint="cs"/>
          <w:b w:val="0"/>
          <w:bCs/>
          <w:rtl/>
          <w:lang w:val="en-GB"/>
        </w:rPr>
        <w:t>التوجيهات</w:t>
      </w:r>
    </w:p>
    <w:p w14:paraId="1B3BEFFA" w14:textId="410831FC" w:rsidR="00DC24B0" w:rsidRPr="00CC188A" w:rsidRDefault="007C6C03" w:rsidP="007C6C03">
      <w:pPr>
        <w:bidi/>
        <w:rPr>
          <w:lang w:val="en-GB"/>
        </w:rPr>
      </w:pPr>
      <w:r>
        <w:rPr>
          <w:rFonts w:hint="cs"/>
          <w:rtl/>
          <w:lang w:val="en-GB"/>
        </w:rPr>
        <w:t xml:space="preserve">الرجاء وضع علامة في الخانة التي تناسب تقدّم مجموعة التنسيق الخاصّة بكم في كلّ معيار من معايير الترسيخ في المنظومة. الرجاء عدم التردّد في إعطاء معلومات إضافية في نهاية الوثيقة.  </w:t>
      </w:r>
      <w:r w:rsidR="008F6735">
        <w:rPr>
          <w:rFonts w:hint="cs"/>
          <w:rtl/>
          <w:lang w:val="en-GB"/>
        </w:rPr>
        <w:t xml:space="preserve"> </w:t>
      </w:r>
    </w:p>
    <w:p w14:paraId="18741CEF" w14:textId="0EF63FA0" w:rsidR="00AB7ED4" w:rsidRPr="00CC188A" w:rsidRDefault="007C6C03" w:rsidP="00A140E3">
      <w:pPr>
        <w:bidi/>
        <w:rPr>
          <w:lang w:val="en-GB"/>
        </w:rPr>
      </w:pPr>
      <w:r w:rsidRPr="00A140E3">
        <w:rPr>
          <w:rFonts w:hint="cs"/>
          <w:b/>
          <w:bCs/>
          <w:rtl/>
          <w:lang w:val="en-GB"/>
        </w:rPr>
        <w:t>ملاحظة:</w:t>
      </w:r>
      <w:r>
        <w:rPr>
          <w:rFonts w:hint="cs"/>
          <w:rtl/>
          <w:lang w:val="en-GB"/>
        </w:rPr>
        <w:t xml:space="preserve"> </w:t>
      </w:r>
      <w:r w:rsidR="00A140E3">
        <w:rPr>
          <w:rFonts w:hint="cs"/>
          <w:rtl/>
          <w:lang w:val="en-GB"/>
        </w:rPr>
        <w:t>لا تشكّل</w:t>
      </w:r>
      <w:r>
        <w:rPr>
          <w:rFonts w:hint="cs"/>
          <w:rtl/>
          <w:lang w:val="en-GB"/>
        </w:rPr>
        <w:t xml:space="preserve"> قائمة التحقّق </w:t>
      </w:r>
      <w:r w:rsidR="00A140E3">
        <w:rPr>
          <w:rFonts w:hint="cs"/>
          <w:rtl/>
          <w:lang w:val="en-GB"/>
        </w:rPr>
        <w:t>إطلاق أحكام</w:t>
      </w:r>
      <w:r>
        <w:rPr>
          <w:rFonts w:hint="cs"/>
          <w:rtl/>
          <w:lang w:val="en-GB"/>
        </w:rPr>
        <w:t xml:space="preserve"> على مجموعة التنسيق الخاصّة بكم، بل هي بالأحرى أداة للتقدير الذاتي. فهي تسمح لمجموعة عمل المعايير الدنيا لحماية الطفل بتحديد المجالات حيث تدعو الحاجة إلى دعم</w:t>
      </w:r>
      <w:r w:rsidR="00A140E3">
        <w:rPr>
          <w:rFonts w:hint="cs"/>
          <w:rtl/>
          <w:lang w:val="en-GB"/>
        </w:rPr>
        <w:t xml:space="preserve">، وبتتبّع استخدام المعايير الدنيا لحماية بشكل عام. </w:t>
      </w:r>
      <w:r w:rsidR="00A140E3" w:rsidRPr="00A140E3">
        <w:rPr>
          <w:rFonts w:hint="cs"/>
          <w:b/>
          <w:bCs/>
          <w:rtl/>
          <w:lang w:val="en-GB"/>
        </w:rPr>
        <w:t>لن يتم</w:t>
      </w:r>
      <w:r w:rsidR="00A140E3">
        <w:rPr>
          <w:rFonts w:hint="cs"/>
          <w:b/>
          <w:bCs/>
          <w:rtl/>
          <w:lang w:val="en-GB"/>
        </w:rPr>
        <w:t xml:space="preserve">ّ نشر أو تشارك الإجابة الفردية التي تقدّمها </w:t>
      </w:r>
      <w:r w:rsidR="00A140E3" w:rsidRPr="00A140E3">
        <w:rPr>
          <w:rFonts w:hint="cs"/>
          <w:b/>
          <w:bCs/>
          <w:rtl/>
          <w:lang w:val="en-GB"/>
        </w:rPr>
        <w:t xml:space="preserve">مجموعتكم. </w:t>
      </w:r>
      <w:r w:rsidR="00A140E3">
        <w:rPr>
          <w:rFonts w:hint="cs"/>
          <w:rtl/>
          <w:lang w:val="en-GB"/>
        </w:rPr>
        <w:t xml:space="preserve"> </w:t>
      </w:r>
      <w:r>
        <w:rPr>
          <w:rFonts w:hint="cs"/>
          <w:rtl/>
          <w:lang w:val="en-GB"/>
        </w:rPr>
        <w:t xml:space="preserve"> </w:t>
      </w:r>
    </w:p>
    <w:p w14:paraId="2CBA365C" w14:textId="77777777" w:rsidR="00C2671E" w:rsidRDefault="00C2671E" w:rsidP="00494517">
      <w:pPr>
        <w:bidi/>
        <w:rPr>
          <w:rtl/>
          <w:lang w:val="en-GB"/>
        </w:rPr>
      </w:pPr>
    </w:p>
    <w:p w14:paraId="671B3C35" w14:textId="77777777" w:rsidR="00007478" w:rsidRDefault="00007478" w:rsidP="00007478">
      <w:pPr>
        <w:bidi/>
        <w:rPr>
          <w:rtl/>
          <w:lang w:val="en-GB"/>
        </w:rPr>
      </w:pPr>
    </w:p>
    <w:p w14:paraId="1AE1ADB9" w14:textId="77777777" w:rsidR="00007478" w:rsidRDefault="00007478" w:rsidP="00007478">
      <w:pPr>
        <w:bidi/>
        <w:rPr>
          <w:rtl/>
          <w:lang w:val="en-GB"/>
        </w:rPr>
      </w:pPr>
    </w:p>
    <w:p w14:paraId="5ED25E55" w14:textId="77777777" w:rsidR="00007478" w:rsidRPr="00CC188A" w:rsidRDefault="00007478" w:rsidP="00007478">
      <w:pPr>
        <w:bidi/>
        <w:rPr>
          <w:lang w:val="en-GB"/>
        </w:rPr>
      </w:pPr>
    </w:p>
    <w:p w14:paraId="6D09F938" w14:textId="5F613060" w:rsidR="002522AB" w:rsidRPr="002440FA" w:rsidRDefault="002440FA" w:rsidP="00494517">
      <w:pPr>
        <w:pStyle w:val="Heading2"/>
        <w:bidi/>
        <w:rPr>
          <w:b w:val="0"/>
          <w:bCs/>
          <w:lang w:val="en-GB"/>
        </w:rPr>
      </w:pPr>
      <w:r w:rsidRPr="002440FA">
        <w:rPr>
          <w:rFonts w:hint="cs"/>
          <w:b w:val="0"/>
          <w:bCs/>
          <w:rtl/>
          <w:lang w:val="en-GB"/>
        </w:rPr>
        <w:lastRenderedPageBreak/>
        <w:t xml:space="preserve">قائمة التحقّق من ترسيخ المعايير الدنيا لحماية الطفل في المنظومة لمجموعات تنسيق حماية الطفل </w:t>
      </w:r>
    </w:p>
    <w:p w14:paraId="76BA1DC8" w14:textId="77777777" w:rsidR="00DC24B0" w:rsidRPr="00CC188A" w:rsidRDefault="00DC24B0" w:rsidP="00494517">
      <w:pPr>
        <w:bidi/>
        <w:rPr>
          <w:sz w:val="16"/>
          <w:szCs w:val="16"/>
          <w:lang w:val="en-GB"/>
        </w:rPr>
      </w:pPr>
    </w:p>
    <w:p w14:paraId="34F152BC" w14:textId="4BE65007" w:rsidR="009F6B89" w:rsidRPr="00CC188A" w:rsidRDefault="002440FA" w:rsidP="002440FA">
      <w:pPr>
        <w:bidi/>
        <w:rPr>
          <w:lang w:val="en-GB"/>
        </w:rPr>
      </w:pPr>
      <w:r w:rsidRPr="002440FA">
        <w:rPr>
          <w:rFonts w:hint="cs"/>
          <w:bCs/>
          <w:rtl/>
          <w:lang w:val="en-GB"/>
        </w:rPr>
        <w:t>الموقع:</w:t>
      </w:r>
      <w:r w:rsidR="009F6B89" w:rsidRPr="00CC188A">
        <w:rPr>
          <w:lang w:val="en-GB"/>
        </w:rPr>
        <w:t xml:space="preserve"> </w:t>
      </w:r>
      <w:r>
        <w:rPr>
          <w:rFonts w:hint="cs"/>
          <w:rtl/>
          <w:lang w:val="en-GB"/>
        </w:rPr>
        <w:t xml:space="preserve"> </w:t>
      </w:r>
      <w:r w:rsidR="009F6B89" w:rsidRPr="00CC188A">
        <w:rPr>
          <w:lang w:val="en-GB"/>
        </w:rPr>
        <w:t>____________________</w:t>
      </w:r>
      <w:r w:rsidR="00C2671E" w:rsidRPr="00CC188A">
        <w:rPr>
          <w:lang w:val="en-GB"/>
        </w:rPr>
        <w:t>____________________________</w:t>
      </w:r>
      <w:r>
        <w:rPr>
          <w:rFonts w:hint="cs"/>
          <w:rtl/>
          <w:lang w:val="en-GB"/>
        </w:rPr>
        <w:t xml:space="preserve"> </w:t>
      </w:r>
    </w:p>
    <w:p w14:paraId="28FFD083" w14:textId="77777777" w:rsidR="009F6B89" w:rsidRPr="00CC188A" w:rsidRDefault="009F6B89" w:rsidP="00494517">
      <w:pPr>
        <w:bidi/>
        <w:rPr>
          <w:lang w:val="en-GB"/>
        </w:rPr>
      </w:pPr>
    </w:p>
    <w:p w14:paraId="78EEFFBD" w14:textId="0C2F08CC" w:rsidR="009F6B89" w:rsidRPr="00CC188A" w:rsidRDefault="002440FA" w:rsidP="00494517">
      <w:pPr>
        <w:bidi/>
        <w:rPr>
          <w:i/>
          <w:lang w:val="en-GB"/>
        </w:rPr>
      </w:pPr>
      <w:r w:rsidRPr="002440FA">
        <w:rPr>
          <w:rFonts w:hint="cs"/>
          <w:b/>
          <w:bCs/>
          <w:rtl/>
          <w:lang w:val="en-GB"/>
        </w:rPr>
        <w:t>الوكالة الرئيسية:</w:t>
      </w:r>
      <w:r>
        <w:rPr>
          <w:rFonts w:hint="cs"/>
          <w:rtl/>
          <w:lang w:val="en-GB"/>
        </w:rPr>
        <w:t xml:space="preserve"> </w:t>
      </w:r>
      <w:r w:rsidR="009F6B89" w:rsidRPr="00CC188A">
        <w:rPr>
          <w:lang w:val="en-GB"/>
        </w:rPr>
        <w:t>_________________________</w:t>
      </w:r>
      <w:r w:rsidR="00C2671E" w:rsidRPr="00CC188A">
        <w:rPr>
          <w:lang w:val="en-GB"/>
        </w:rPr>
        <w:t>____________________</w:t>
      </w:r>
    </w:p>
    <w:p w14:paraId="1763316E" w14:textId="77777777" w:rsidR="005216FA" w:rsidRPr="00CC188A" w:rsidRDefault="005216FA" w:rsidP="00494517">
      <w:pPr>
        <w:bidi/>
        <w:rPr>
          <w:b/>
          <w:lang w:val="en-GB"/>
        </w:rPr>
      </w:pPr>
    </w:p>
    <w:p w14:paraId="44F9A713" w14:textId="15D98DBB" w:rsidR="009F6B89" w:rsidRPr="002440FA" w:rsidRDefault="002440FA" w:rsidP="00494517">
      <w:pPr>
        <w:bidi/>
        <w:rPr>
          <w:bCs/>
          <w:lang w:val="en-GB"/>
        </w:rPr>
      </w:pPr>
      <w:r w:rsidRPr="002440FA">
        <w:rPr>
          <w:rFonts w:hint="cs"/>
          <w:bCs/>
          <w:rtl/>
          <w:lang w:val="en-GB"/>
        </w:rPr>
        <w:t>التشكيلة التقريبية للمجموعة:</w:t>
      </w:r>
    </w:p>
    <w:tbl>
      <w:tblPr>
        <w:bidiVisual/>
        <w:tblW w:w="72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843"/>
        <w:gridCol w:w="1701"/>
        <w:gridCol w:w="2268"/>
      </w:tblGrid>
      <w:tr w:rsidR="00BB23E1" w:rsidRPr="00CC188A" w14:paraId="44CF589B" w14:textId="77777777" w:rsidTr="002440FA">
        <w:tc>
          <w:tcPr>
            <w:tcW w:w="1413" w:type="dxa"/>
            <w:shd w:val="clear" w:color="auto" w:fill="FFFFFF" w:themeFill="background1"/>
          </w:tcPr>
          <w:p w14:paraId="63FC7F28" w14:textId="77777777" w:rsidR="009F6B89" w:rsidRPr="00CC188A" w:rsidRDefault="009F6B89" w:rsidP="00494517">
            <w:pPr>
              <w:bidi/>
              <w:rPr>
                <w:lang w:val="en-GB"/>
              </w:rPr>
            </w:pPr>
            <w:r w:rsidRPr="00CC188A">
              <w:rPr>
                <w:lang w:val="en-GB"/>
              </w:rPr>
              <w:t>%</w:t>
            </w:r>
          </w:p>
        </w:tc>
        <w:tc>
          <w:tcPr>
            <w:tcW w:w="1843" w:type="dxa"/>
            <w:shd w:val="clear" w:color="auto" w:fill="FFFFFF" w:themeFill="background1"/>
          </w:tcPr>
          <w:p w14:paraId="68A70BA1" w14:textId="5AD166C8" w:rsidR="009F6B89" w:rsidRPr="00CC188A" w:rsidRDefault="002231B3" w:rsidP="00494517">
            <w:pPr>
              <w:bidi/>
              <w:rPr>
                <w:lang w:val="en-GB"/>
              </w:rPr>
            </w:pPr>
            <w:r>
              <w:rPr>
                <w:rFonts w:hint="cs"/>
                <w:rtl/>
                <w:lang w:val="en-GB"/>
              </w:rPr>
              <w:t>المنظّمات غير الحكومية الدولية</w:t>
            </w:r>
          </w:p>
        </w:tc>
        <w:tc>
          <w:tcPr>
            <w:tcW w:w="1701" w:type="dxa"/>
            <w:shd w:val="clear" w:color="auto" w:fill="FFFFFF" w:themeFill="background1"/>
          </w:tcPr>
          <w:p w14:paraId="6B76011E" w14:textId="77777777" w:rsidR="009F6B89" w:rsidRPr="00CC188A" w:rsidRDefault="009F6B89" w:rsidP="00494517">
            <w:pPr>
              <w:bidi/>
              <w:rPr>
                <w:lang w:val="en-GB"/>
              </w:rPr>
            </w:pPr>
            <w:r w:rsidRPr="00CC188A">
              <w:rPr>
                <w:lang w:val="en-GB"/>
              </w:rPr>
              <w:t>%</w:t>
            </w:r>
          </w:p>
        </w:tc>
        <w:tc>
          <w:tcPr>
            <w:tcW w:w="2268" w:type="dxa"/>
            <w:shd w:val="clear" w:color="auto" w:fill="FFFFFF" w:themeFill="background1"/>
          </w:tcPr>
          <w:p w14:paraId="2915CFBD" w14:textId="35DB3001" w:rsidR="009F6B89" w:rsidRPr="00CC188A" w:rsidRDefault="002231B3" w:rsidP="00494517">
            <w:pPr>
              <w:bidi/>
              <w:rPr>
                <w:lang w:val="en-GB"/>
              </w:rPr>
            </w:pPr>
            <w:r>
              <w:rPr>
                <w:rFonts w:hint="cs"/>
                <w:rtl/>
                <w:lang w:val="en-GB"/>
              </w:rPr>
              <w:t>الجهات الفاعلة الحكومية</w:t>
            </w:r>
          </w:p>
        </w:tc>
      </w:tr>
      <w:tr w:rsidR="00BB23E1" w:rsidRPr="00CC188A" w14:paraId="3FB9531D" w14:textId="77777777" w:rsidTr="002440FA">
        <w:tc>
          <w:tcPr>
            <w:tcW w:w="1413" w:type="dxa"/>
            <w:shd w:val="clear" w:color="auto" w:fill="FFFFFF" w:themeFill="background1"/>
          </w:tcPr>
          <w:p w14:paraId="61870F11" w14:textId="77777777" w:rsidR="009F6B89" w:rsidRPr="00CC188A" w:rsidRDefault="009F6B89" w:rsidP="00494517">
            <w:pPr>
              <w:bidi/>
              <w:rPr>
                <w:lang w:val="en-GB"/>
              </w:rPr>
            </w:pPr>
            <w:r w:rsidRPr="00CC188A">
              <w:rPr>
                <w:lang w:val="en-GB"/>
              </w:rPr>
              <w:t>%</w:t>
            </w:r>
          </w:p>
        </w:tc>
        <w:tc>
          <w:tcPr>
            <w:tcW w:w="1843" w:type="dxa"/>
            <w:shd w:val="clear" w:color="auto" w:fill="FFFFFF" w:themeFill="background1"/>
          </w:tcPr>
          <w:p w14:paraId="1559FA70" w14:textId="5A213D2E" w:rsidR="009F6B89" w:rsidRPr="00CC188A" w:rsidRDefault="002231B3" w:rsidP="00494517">
            <w:pPr>
              <w:bidi/>
              <w:rPr>
                <w:lang w:val="en-GB"/>
              </w:rPr>
            </w:pPr>
            <w:r>
              <w:rPr>
                <w:rFonts w:hint="cs"/>
                <w:rtl/>
                <w:lang w:val="en-GB"/>
              </w:rPr>
              <w:t>وكالات الأمم المتّحدة</w:t>
            </w:r>
          </w:p>
        </w:tc>
        <w:tc>
          <w:tcPr>
            <w:tcW w:w="1701" w:type="dxa"/>
            <w:shd w:val="clear" w:color="auto" w:fill="FFFFFF" w:themeFill="background1"/>
          </w:tcPr>
          <w:p w14:paraId="37E94672" w14:textId="77777777" w:rsidR="009F6B89" w:rsidRPr="00CC188A" w:rsidRDefault="009F6B89" w:rsidP="00494517">
            <w:pPr>
              <w:bidi/>
              <w:rPr>
                <w:lang w:val="en-GB"/>
              </w:rPr>
            </w:pPr>
            <w:r w:rsidRPr="00CC188A">
              <w:rPr>
                <w:lang w:val="en-GB"/>
              </w:rPr>
              <w:t>%</w:t>
            </w:r>
          </w:p>
        </w:tc>
        <w:tc>
          <w:tcPr>
            <w:tcW w:w="2268" w:type="dxa"/>
            <w:shd w:val="clear" w:color="auto" w:fill="FFFFFF" w:themeFill="background1"/>
          </w:tcPr>
          <w:p w14:paraId="0B406041" w14:textId="1A6326A0" w:rsidR="009F6B89" w:rsidRPr="00CC188A" w:rsidRDefault="002231B3" w:rsidP="00494517">
            <w:pPr>
              <w:bidi/>
              <w:rPr>
                <w:lang w:val="en-GB"/>
              </w:rPr>
            </w:pPr>
            <w:r>
              <w:rPr>
                <w:rFonts w:hint="cs"/>
                <w:rtl/>
                <w:lang w:val="en-GB"/>
              </w:rPr>
              <w:t>المنظّمات المجتمعية</w:t>
            </w:r>
          </w:p>
        </w:tc>
      </w:tr>
      <w:tr w:rsidR="00BB23E1" w:rsidRPr="00CC188A" w14:paraId="0AE3F9C6" w14:textId="77777777" w:rsidTr="002440FA">
        <w:tc>
          <w:tcPr>
            <w:tcW w:w="1413" w:type="dxa"/>
            <w:shd w:val="clear" w:color="auto" w:fill="FFFFFF" w:themeFill="background1"/>
          </w:tcPr>
          <w:p w14:paraId="43B64D89" w14:textId="77777777" w:rsidR="009F6B89" w:rsidRPr="00CC188A" w:rsidRDefault="009F6B89" w:rsidP="00494517">
            <w:pPr>
              <w:bidi/>
              <w:rPr>
                <w:lang w:val="en-GB"/>
              </w:rPr>
            </w:pPr>
            <w:r w:rsidRPr="00CC188A">
              <w:rPr>
                <w:lang w:val="en-GB"/>
              </w:rPr>
              <w:t>%</w:t>
            </w:r>
          </w:p>
        </w:tc>
        <w:tc>
          <w:tcPr>
            <w:tcW w:w="1843" w:type="dxa"/>
            <w:shd w:val="clear" w:color="auto" w:fill="FFFFFF" w:themeFill="background1"/>
          </w:tcPr>
          <w:p w14:paraId="43C95DFB" w14:textId="35ABF74B" w:rsidR="009F6B89" w:rsidRPr="00CC188A" w:rsidRDefault="0014593B" w:rsidP="00494517">
            <w:pPr>
              <w:bidi/>
              <w:rPr>
                <w:lang w:val="en-GB"/>
              </w:rPr>
            </w:pPr>
            <w:r>
              <w:rPr>
                <w:rFonts w:hint="cs"/>
                <w:rtl/>
                <w:lang w:val="en-GB"/>
              </w:rPr>
              <w:t>المنظّمات غير الحكومية الوط</w:t>
            </w:r>
            <w:r w:rsidR="002231B3">
              <w:rPr>
                <w:rFonts w:hint="cs"/>
                <w:rtl/>
                <w:lang w:val="en-GB"/>
              </w:rPr>
              <w:t>نية</w:t>
            </w:r>
          </w:p>
        </w:tc>
        <w:tc>
          <w:tcPr>
            <w:tcW w:w="1701" w:type="dxa"/>
            <w:shd w:val="clear" w:color="auto" w:fill="FFFFFF" w:themeFill="background1"/>
          </w:tcPr>
          <w:p w14:paraId="1F273E87" w14:textId="77777777" w:rsidR="009F6B89" w:rsidRPr="00CC188A" w:rsidRDefault="009F6B89" w:rsidP="00494517">
            <w:pPr>
              <w:bidi/>
              <w:rPr>
                <w:lang w:val="en-GB"/>
              </w:rPr>
            </w:pPr>
            <w:r w:rsidRPr="00CC188A">
              <w:rPr>
                <w:lang w:val="en-GB"/>
              </w:rPr>
              <w:t>%</w:t>
            </w:r>
          </w:p>
        </w:tc>
        <w:tc>
          <w:tcPr>
            <w:tcW w:w="2268" w:type="dxa"/>
            <w:shd w:val="clear" w:color="auto" w:fill="FFFFFF" w:themeFill="background1"/>
          </w:tcPr>
          <w:p w14:paraId="3F967A70" w14:textId="1C89FFC3" w:rsidR="009F6B89" w:rsidRPr="00CC188A" w:rsidRDefault="002231B3" w:rsidP="00494517">
            <w:pPr>
              <w:bidi/>
              <w:rPr>
                <w:lang w:val="en-GB"/>
              </w:rPr>
            </w:pPr>
            <w:r>
              <w:rPr>
                <w:rFonts w:hint="cs"/>
                <w:rtl/>
                <w:lang w:val="en-GB"/>
              </w:rPr>
              <w:t>سواها</w:t>
            </w:r>
          </w:p>
        </w:tc>
      </w:tr>
      <w:tr w:rsidR="00BB23E1" w:rsidRPr="00CC188A" w14:paraId="20B0C570" w14:textId="77777777" w:rsidTr="002440FA">
        <w:tc>
          <w:tcPr>
            <w:tcW w:w="1413" w:type="dxa"/>
            <w:shd w:val="clear" w:color="auto" w:fill="FFFFFF" w:themeFill="background1"/>
          </w:tcPr>
          <w:p w14:paraId="66F1E7A9" w14:textId="77777777" w:rsidR="009F6B89" w:rsidRPr="00CC188A" w:rsidRDefault="009F6B89" w:rsidP="00494517">
            <w:pPr>
              <w:bidi/>
              <w:rPr>
                <w:lang w:val="en-GB"/>
              </w:rPr>
            </w:pPr>
            <w:r w:rsidRPr="00CC188A">
              <w:rPr>
                <w:lang w:val="en-GB"/>
              </w:rPr>
              <w:t>%</w:t>
            </w:r>
          </w:p>
        </w:tc>
        <w:tc>
          <w:tcPr>
            <w:tcW w:w="1843" w:type="dxa"/>
            <w:shd w:val="clear" w:color="auto" w:fill="FFFFFF" w:themeFill="background1"/>
          </w:tcPr>
          <w:p w14:paraId="69512A37" w14:textId="2D688085" w:rsidR="009F6B89" w:rsidRPr="00CC188A" w:rsidRDefault="002231B3" w:rsidP="00494517">
            <w:pPr>
              <w:bidi/>
              <w:rPr>
                <w:lang w:val="en-GB"/>
              </w:rPr>
            </w:pPr>
            <w:r>
              <w:rPr>
                <w:rFonts w:hint="cs"/>
                <w:rtl/>
                <w:lang w:val="en-GB"/>
              </w:rPr>
              <w:t>المنظّمات غير الحكومية المحلّية</w:t>
            </w:r>
          </w:p>
        </w:tc>
        <w:tc>
          <w:tcPr>
            <w:tcW w:w="1701" w:type="dxa"/>
            <w:shd w:val="clear" w:color="auto" w:fill="FFFFFF" w:themeFill="background1"/>
          </w:tcPr>
          <w:p w14:paraId="69CD686E" w14:textId="77777777" w:rsidR="009F6B89" w:rsidRPr="00CC188A" w:rsidRDefault="009F6B89" w:rsidP="00494517">
            <w:pPr>
              <w:bidi/>
              <w:rPr>
                <w:lang w:val="en-GB"/>
              </w:rPr>
            </w:pPr>
          </w:p>
        </w:tc>
        <w:tc>
          <w:tcPr>
            <w:tcW w:w="2268" w:type="dxa"/>
            <w:shd w:val="clear" w:color="auto" w:fill="FFFFFF" w:themeFill="background1"/>
          </w:tcPr>
          <w:p w14:paraId="082C25BF" w14:textId="77777777" w:rsidR="009F6B89" w:rsidRPr="00CC188A" w:rsidRDefault="009F6B89" w:rsidP="00494517">
            <w:pPr>
              <w:bidi/>
              <w:rPr>
                <w:lang w:val="en-GB"/>
              </w:rPr>
            </w:pPr>
          </w:p>
        </w:tc>
      </w:tr>
    </w:tbl>
    <w:p w14:paraId="5A0F5017" w14:textId="77777777" w:rsidR="00FF2F44" w:rsidRPr="00CC188A" w:rsidRDefault="00FF2F44" w:rsidP="00494517">
      <w:pPr>
        <w:bidi/>
        <w:rPr>
          <w:lang w:val="en-GB"/>
        </w:rPr>
      </w:pPr>
    </w:p>
    <w:tbl>
      <w:tblPr>
        <w:bidiVisual/>
        <w:tblW w:w="10080" w:type="dxa"/>
        <w:tblInd w:w="-8" w:type="dxa"/>
        <w:tblLayout w:type="fixed"/>
        <w:tblLook w:val="0000" w:firstRow="0" w:lastRow="0" w:firstColumn="0" w:lastColumn="0" w:noHBand="0" w:noVBand="0"/>
      </w:tblPr>
      <w:tblGrid>
        <w:gridCol w:w="5928"/>
        <w:gridCol w:w="1134"/>
        <w:gridCol w:w="1018"/>
        <w:gridCol w:w="992"/>
        <w:gridCol w:w="1008"/>
      </w:tblGrid>
      <w:tr w:rsidR="00C2671E" w:rsidRPr="00CC188A" w14:paraId="5BA6A075" w14:textId="77777777" w:rsidTr="002231B3">
        <w:trPr>
          <w:trHeight w:val="869"/>
        </w:trPr>
        <w:tc>
          <w:tcPr>
            <w:tcW w:w="592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6AFDE001" w14:textId="77777777" w:rsidR="00C2671E" w:rsidRPr="00CC188A" w:rsidRDefault="00C2671E" w:rsidP="00494517">
            <w:pPr>
              <w:bidi/>
              <w:rPr>
                <w:b/>
                <w:color w:val="FFFFFF" w:themeColor="background1"/>
                <w:lang w:val="en-GB"/>
              </w:rPr>
            </w:pPr>
          </w:p>
          <w:p w14:paraId="619588E6" w14:textId="311B710B" w:rsidR="00822224" w:rsidRPr="002231B3" w:rsidRDefault="002231B3" w:rsidP="00494517">
            <w:pPr>
              <w:bidi/>
              <w:rPr>
                <w:bCs/>
                <w:color w:val="FFFFFF" w:themeColor="background1"/>
                <w:lang w:val="en-GB"/>
              </w:rPr>
            </w:pPr>
            <w:r w:rsidRPr="002231B3">
              <w:rPr>
                <w:rFonts w:hint="cs"/>
                <w:bCs/>
                <w:color w:val="FFFFFF" w:themeColor="background1"/>
                <w:rtl/>
                <w:lang w:val="en-GB"/>
              </w:rPr>
              <w:t>النشاط</w:t>
            </w:r>
          </w:p>
        </w:tc>
        <w:tc>
          <w:tcPr>
            <w:tcW w:w="113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0B1CA7B" w14:textId="61803B5D" w:rsidR="00C2671E" w:rsidRPr="002231B3" w:rsidRDefault="002231B3" w:rsidP="002231B3">
            <w:pPr>
              <w:bidi/>
              <w:rPr>
                <w:bCs/>
                <w:color w:val="FFFFFF" w:themeColor="background1"/>
                <w:lang w:val="en-GB"/>
              </w:rPr>
            </w:pPr>
            <w:r w:rsidRPr="002231B3">
              <w:rPr>
                <w:rFonts w:hint="cs"/>
                <w:bCs/>
                <w:color w:val="FFFFFF" w:themeColor="background1"/>
                <w:rtl/>
                <w:lang w:val="en-GB"/>
              </w:rPr>
              <w:t>نُفِّذ / قيد التنفيذ</w:t>
            </w:r>
          </w:p>
        </w:tc>
        <w:tc>
          <w:tcPr>
            <w:tcW w:w="10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FB1A2E0" w14:textId="125CAD84" w:rsidR="00C2671E" w:rsidRPr="002231B3" w:rsidRDefault="002231B3" w:rsidP="00494517">
            <w:pPr>
              <w:bidi/>
              <w:rPr>
                <w:bCs/>
                <w:color w:val="FFFFFF" w:themeColor="background1"/>
                <w:lang w:val="en-GB"/>
              </w:rPr>
            </w:pPr>
            <w:r w:rsidRPr="002231B3">
              <w:rPr>
                <w:rFonts w:hint="cs"/>
                <w:bCs/>
                <w:color w:val="FFFFFF" w:themeColor="background1"/>
                <w:rtl/>
                <w:lang w:val="en-GB"/>
              </w:rPr>
              <w:t>لم ينفَّذ</w:t>
            </w:r>
            <w:r w:rsidR="00C2671E" w:rsidRPr="002231B3">
              <w:rPr>
                <w:bCs/>
                <w:color w:val="FFFFFF" w:themeColor="background1"/>
                <w:lang w:val="en-GB"/>
              </w:rPr>
              <w:t xml:space="preserve"> </w:t>
            </w:r>
          </w:p>
        </w:tc>
        <w:tc>
          <w:tcPr>
            <w:tcW w:w="99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B242D3D" w14:textId="56E58C8A" w:rsidR="00C2671E" w:rsidRPr="002231B3" w:rsidRDefault="002231B3" w:rsidP="00494517">
            <w:pPr>
              <w:bidi/>
              <w:rPr>
                <w:bCs/>
                <w:color w:val="FFFFFF" w:themeColor="background1"/>
                <w:lang w:val="en-GB"/>
              </w:rPr>
            </w:pPr>
            <w:r w:rsidRPr="002231B3">
              <w:rPr>
                <w:rFonts w:hint="cs"/>
                <w:bCs/>
                <w:color w:val="FFFFFF" w:themeColor="background1"/>
                <w:rtl/>
                <w:lang w:val="en-GB"/>
              </w:rPr>
              <w:t>مخطَّط له</w:t>
            </w:r>
          </w:p>
        </w:tc>
        <w:tc>
          <w:tcPr>
            <w:tcW w:w="100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5E84B89" w14:textId="176DD5F5" w:rsidR="00C2671E" w:rsidRPr="002231B3" w:rsidRDefault="002231B3" w:rsidP="00494517">
            <w:pPr>
              <w:bidi/>
              <w:rPr>
                <w:bCs/>
                <w:color w:val="FFFFFF" w:themeColor="background1"/>
                <w:lang w:val="en-GB"/>
              </w:rPr>
            </w:pPr>
            <w:r w:rsidRPr="002231B3">
              <w:rPr>
                <w:rFonts w:hint="cs"/>
                <w:bCs/>
                <w:color w:val="FFFFFF" w:themeColor="background1"/>
                <w:rtl/>
                <w:lang w:val="en-GB"/>
              </w:rPr>
              <w:t>لا ينطبق</w:t>
            </w:r>
          </w:p>
        </w:tc>
      </w:tr>
      <w:tr w:rsidR="00C2671E" w:rsidRPr="00CC188A" w14:paraId="4C7CD71E" w14:textId="77777777" w:rsidTr="002231B3">
        <w:tc>
          <w:tcPr>
            <w:tcW w:w="592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6C268FAE" w14:textId="77777777" w:rsidR="00FF2F44" w:rsidRPr="00CC188A" w:rsidRDefault="00FF2F44" w:rsidP="00494517">
            <w:pPr>
              <w:bidi/>
              <w:rPr>
                <w:b/>
                <w:sz w:val="16"/>
                <w:szCs w:val="16"/>
                <w:lang w:val="en-GB"/>
              </w:rPr>
            </w:pPr>
          </w:p>
          <w:p w14:paraId="2266929B" w14:textId="522F6611" w:rsidR="00C2671E" w:rsidRPr="002231B3" w:rsidRDefault="002231B3" w:rsidP="00494517">
            <w:pPr>
              <w:bidi/>
              <w:rPr>
                <w:bCs/>
                <w:lang w:val="en-GB"/>
              </w:rPr>
            </w:pPr>
            <w:r w:rsidRPr="002231B3">
              <w:rPr>
                <w:rFonts w:hint="cs"/>
                <w:bCs/>
                <w:rtl/>
                <w:lang w:val="en-GB"/>
              </w:rPr>
              <w:t>الوعي والتعميم</w:t>
            </w:r>
          </w:p>
        </w:tc>
        <w:tc>
          <w:tcPr>
            <w:tcW w:w="1134"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5412FF93" w14:textId="77777777" w:rsidR="00C2671E" w:rsidRPr="00CC188A" w:rsidRDefault="00C2671E" w:rsidP="00494517">
            <w:pPr>
              <w:bidi/>
              <w:rPr>
                <w:lang w:val="en-GB"/>
              </w:rPr>
            </w:pPr>
          </w:p>
        </w:tc>
        <w:tc>
          <w:tcPr>
            <w:tcW w:w="101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7E39E3D" w14:textId="77777777" w:rsidR="00C2671E" w:rsidRPr="00CC188A" w:rsidRDefault="00C2671E" w:rsidP="00494517">
            <w:pPr>
              <w:bidi/>
              <w:rPr>
                <w:lang w:val="en-GB"/>
              </w:rPr>
            </w:pPr>
          </w:p>
        </w:tc>
        <w:tc>
          <w:tcPr>
            <w:tcW w:w="992"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23A8351" w14:textId="77777777" w:rsidR="00C2671E" w:rsidRPr="00CC188A" w:rsidRDefault="00C2671E" w:rsidP="00494517">
            <w:pPr>
              <w:bidi/>
              <w:rPr>
                <w:lang w:val="en-GB"/>
              </w:rPr>
            </w:pPr>
          </w:p>
        </w:tc>
        <w:tc>
          <w:tcPr>
            <w:tcW w:w="100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49CCAFB0" w14:textId="77777777" w:rsidR="00C2671E" w:rsidRPr="00CC188A" w:rsidRDefault="00C2671E" w:rsidP="00494517">
            <w:pPr>
              <w:bidi/>
              <w:rPr>
                <w:lang w:val="en-GB"/>
              </w:rPr>
            </w:pPr>
          </w:p>
        </w:tc>
      </w:tr>
      <w:tr w:rsidR="00C2671E" w:rsidRPr="00CC188A" w14:paraId="62F5516E"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721A249C" w14:textId="77777777" w:rsidR="00822224" w:rsidRPr="00CC188A" w:rsidRDefault="00822224" w:rsidP="00494517">
            <w:pPr>
              <w:bidi/>
              <w:rPr>
                <w:sz w:val="16"/>
                <w:szCs w:val="16"/>
                <w:lang w:val="en-GB"/>
              </w:rPr>
            </w:pPr>
          </w:p>
          <w:p w14:paraId="246E5509" w14:textId="7FDD29E3" w:rsidR="00C2671E" w:rsidRPr="00CC188A" w:rsidRDefault="002231B3" w:rsidP="002231B3">
            <w:pPr>
              <w:bidi/>
              <w:rPr>
                <w:lang w:val="en-GB"/>
              </w:rPr>
            </w:pPr>
            <w:r>
              <w:rPr>
                <w:rFonts w:hint="cs"/>
                <w:rtl/>
                <w:lang w:val="en-GB"/>
              </w:rPr>
              <w:t xml:space="preserve">معايير الركيزة 4 </w:t>
            </w:r>
            <w:r>
              <w:rPr>
                <w:rtl/>
                <w:lang w:val="en-GB"/>
              </w:rPr>
              <w:t>–</w:t>
            </w:r>
            <w:r>
              <w:rPr>
                <w:rFonts w:hint="cs"/>
                <w:rtl/>
                <w:lang w:val="en-GB"/>
              </w:rPr>
              <w:t xml:space="preserve"> معايير للعمل في جميع القطاعات </w:t>
            </w:r>
            <w:r>
              <w:rPr>
                <w:rtl/>
                <w:lang w:val="en-GB"/>
              </w:rPr>
              <w:t>–</w:t>
            </w:r>
            <w:r>
              <w:rPr>
                <w:rFonts w:hint="cs"/>
                <w:rtl/>
                <w:lang w:val="en-GB"/>
              </w:rPr>
              <w:t xml:space="preserve"> يتمّ التعريف بها وتعميمها في آليات تنسيق القطاع المعني، مثل الصحّة، والمأوى، والمياه، والصرف الصحّي، والنظافة، إلخ</w:t>
            </w:r>
          </w:p>
        </w:tc>
        <w:tc>
          <w:tcPr>
            <w:tcW w:w="1134" w:type="dxa"/>
            <w:tcBorders>
              <w:top w:val="single" w:sz="6" w:space="0" w:color="000000"/>
              <w:left w:val="single" w:sz="6" w:space="0" w:color="000000"/>
              <w:bottom w:val="single" w:sz="6" w:space="0" w:color="000000"/>
              <w:right w:val="single" w:sz="6" w:space="0" w:color="000000"/>
            </w:tcBorders>
          </w:tcPr>
          <w:p w14:paraId="37C0EF8B"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7FB286F4"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7EF02836"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E439D45" w14:textId="77777777" w:rsidR="00C2671E" w:rsidRPr="00CC188A" w:rsidRDefault="00C2671E" w:rsidP="00494517">
            <w:pPr>
              <w:bidi/>
              <w:ind w:left="738"/>
              <w:rPr>
                <w:lang w:val="en-GB"/>
              </w:rPr>
            </w:pPr>
          </w:p>
        </w:tc>
      </w:tr>
      <w:tr w:rsidR="00C2671E" w:rsidRPr="00CC188A" w14:paraId="5AD29F1F"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5351EB26" w14:textId="77777777" w:rsidR="00FF2F44" w:rsidRPr="00CC188A" w:rsidRDefault="00FF2F44" w:rsidP="00494517">
            <w:pPr>
              <w:bidi/>
              <w:rPr>
                <w:lang w:val="en-GB"/>
              </w:rPr>
            </w:pPr>
          </w:p>
          <w:p w14:paraId="12952DB4" w14:textId="60B6D556" w:rsidR="00114D99" w:rsidRPr="00CC188A" w:rsidRDefault="00362F3A" w:rsidP="00362F3A">
            <w:pPr>
              <w:bidi/>
              <w:rPr>
                <w:lang w:val="en-GB"/>
              </w:rPr>
            </w:pPr>
            <w:r>
              <w:rPr>
                <w:rFonts w:hint="cs"/>
                <w:rtl/>
                <w:lang w:val="en-GB"/>
              </w:rPr>
              <w:t xml:space="preserve">جميع آليات التنسيق المعنية المشتركة بين الوكالات تدمج المبادئ العشرة للمعايير الدنيا لحماية الطفل في خطط عملها. </w:t>
            </w:r>
          </w:p>
        </w:tc>
        <w:tc>
          <w:tcPr>
            <w:tcW w:w="1134" w:type="dxa"/>
            <w:tcBorders>
              <w:top w:val="single" w:sz="6" w:space="0" w:color="000000"/>
              <w:left w:val="single" w:sz="6" w:space="0" w:color="000000"/>
              <w:bottom w:val="single" w:sz="6" w:space="0" w:color="000000"/>
              <w:right w:val="single" w:sz="6" w:space="0" w:color="000000"/>
            </w:tcBorders>
          </w:tcPr>
          <w:p w14:paraId="4779D1B3" w14:textId="77777777" w:rsidR="00C2671E" w:rsidRDefault="00C2671E" w:rsidP="00494517">
            <w:pPr>
              <w:bidi/>
              <w:rPr>
                <w:rtl/>
                <w:lang w:val="en-GB"/>
              </w:rPr>
            </w:pPr>
          </w:p>
          <w:p w14:paraId="276E8C4E" w14:textId="77777777" w:rsidR="00007478" w:rsidRDefault="00007478" w:rsidP="00007478">
            <w:pPr>
              <w:bidi/>
              <w:rPr>
                <w:rtl/>
                <w:lang w:val="en-GB"/>
              </w:rPr>
            </w:pPr>
          </w:p>
          <w:p w14:paraId="570962BA" w14:textId="77777777" w:rsidR="00007478" w:rsidRDefault="00007478" w:rsidP="00007478">
            <w:pPr>
              <w:bidi/>
              <w:rPr>
                <w:rtl/>
                <w:lang w:val="en-GB"/>
              </w:rPr>
            </w:pPr>
          </w:p>
          <w:p w14:paraId="0006FCE1" w14:textId="77777777" w:rsidR="00007478" w:rsidRPr="00CC188A" w:rsidRDefault="00007478" w:rsidP="00007478">
            <w:pPr>
              <w:bidi/>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271FF6D7" w14:textId="77777777" w:rsidR="00C2671E" w:rsidRPr="00CC188A" w:rsidRDefault="00C2671E" w:rsidP="00494517">
            <w:pPr>
              <w:bidi/>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04D6B4E" w14:textId="77777777" w:rsidR="00C2671E" w:rsidRPr="00CC188A" w:rsidRDefault="00C2671E" w:rsidP="00494517">
            <w:pPr>
              <w:bidi/>
              <w:ind w:left="450"/>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051A3E3F" w14:textId="77777777" w:rsidR="00C2671E" w:rsidRPr="00CC188A" w:rsidRDefault="00C2671E" w:rsidP="00494517">
            <w:pPr>
              <w:bidi/>
              <w:ind w:left="450"/>
              <w:rPr>
                <w:lang w:val="en-GB"/>
              </w:rPr>
            </w:pPr>
          </w:p>
        </w:tc>
      </w:tr>
      <w:tr w:rsidR="00C2671E" w:rsidRPr="00CC188A" w14:paraId="6EB427F9"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0DF0E744" w14:textId="77777777" w:rsidR="00FF2F44" w:rsidRPr="00CC188A" w:rsidRDefault="00FF2F44" w:rsidP="00494517">
            <w:pPr>
              <w:bidi/>
              <w:rPr>
                <w:lang w:val="en-GB"/>
              </w:rPr>
            </w:pPr>
          </w:p>
          <w:p w14:paraId="7C23ED4A" w14:textId="6E0B6E42" w:rsidR="00C2671E" w:rsidRPr="00CC188A" w:rsidRDefault="00362F3A" w:rsidP="00362F3A">
            <w:pPr>
              <w:bidi/>
              <w:rPr>
                <w:lang w:val="en-GB"/>
              </w:rPr>
            </w:pPr>
            <w:r>
              <w:rPr>
                <w:rFonts w:hint="cs"/>
                <w:rtl/>
                <w:lang w:val="en-GB"/>
              </w:rPr>
              <w:t>دورات زيادة الوعي بشأن المعايير الدنيا لحماية الطفل تجري بانتظام مع الممثّلين الحكوميين والموظّفين الحكوميين.</w:t>
            </w:r>
          </w:p>
        </w:tc>
        <w:tc>
          <w:tcPr>
            <w:tcW w:w="1134" w:type="dxa"/>
            <w:tcBorders>
              <w:top w:val="single" w:sz="6" w:space="0" w:color="000000"/>
              <w:left w:val="single" w:sz="6" w:space="0" w:color="000000"/>
              <w:bottom w:val="single" w:sz="6" w:space="0" w:color="000000"/>
              <w:right w:val="single" w:sz="6" w:space="0" w:color="000000"/>
            </w:tcBorders>
          </w:tcPr>
          <w:p w14:paraId="09533901" w14:textId="77777777" w:rsidR="00C2671E" w:rsidRPr="00CC188A" w:rsidRDefault="00C2671E" w:rsidP="00494517">
            <w:pPr>
              <w:bidi/>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8BE9E6C" w14:textId="77777777" w:rsidR="00C2671E" w:rsidRPr="00CC188A" w:rsidRDefault="00C2671E" w:rsidP="00494517">
            <w:pPr>
              <w:bidi/>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23D084E1" w14:textId="77777777" w:rsidR="00C2671E" w:rsidRPr="00CC188A" w:rsidRDefault="00C2671E" w:rsidP="00494517">
            <w:pPr>
              <w:bidi/>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118677F2" w14:textId="77777777" w:rsidR="00C2671E" w:rsidRPr="00CC188A" w:rsidRDefault="00C2671E" w:rsidP="00494517">
            <w:pPr>
              <w:bidi/>
              <w:ind w:left="738"/>
              <w:rPr>
                <w:lang w:val="en-GB"/>
              </w:rPr>
            </w:pPr>
          </w:p>
        </w:tc>
      </w:tr>
      <w:tr w:rsidR="00C2671E" w:rsidRPr="00CC188A" w14:paraId="4DC12A9C"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6DE4D253" w14:textId="77777777" w:rsidR="00FF2F44" w:rsidRPr="00CC188A" w:rsidRDefault="00FF2F44" w:rsidP="00494517">
            <w:pPr>
              <w:bidi/>
              <w:rPr>
                <w:lang w:val="en-GB"/>
              </w:rPr>
            </w:pPr>
          </w:p>
          <w:p w14:paraId="76E472A9" w14:textId="6DDCF1FD" w:rsidR="00C2671E" w:rsidRPr="00CC188A" w:rsidRDefault="00362F3A" w:rsidP="00494517">
            <w:pPr>
              <w:bidi/>
              <w:rPr>
                <w:lang w:val="en-GB"/>
              </w:rPr>
            </w:pPr>
            <w:r>
              <w:rPr>
                <w:rFonts w:hint="cs"/>
                <w:rtl/>
                <w:lang w:val="en-GB"/>
              </w:rPr>
              <w:t xml:space="preserve">دورات زيادة الوعي بشأن المعايير الدنيا لحماية الطفل تجري بانتظام مع الجهات المانحة والمنظّمات المجتمعية (عند الحاجة)، بما في ذلك استخدام المعايير الدنيا لحماية الطفل كآلية لقياس تصميم البرامج ذي الجودة وكأداة لسياسات وممارسات الاستعداد. </w:t>
            </w:r>
          </w:p>
        </w:tc>
        <w:tc>
          <w:tcPr>
            <w:tcW w:w="1134" w:type="dxa"/>
            <w:tcBorders>
              <w:top w:val="single" w:sz="6" w:space="0" w:color="000000"/>
              <w:left w:val="single" w:sz="6" w:space="0" w:color="000000"/>
              <w:bottom w:val="single" w:sz="6" w:space="0" w:color="000000"/>
              <w:right w:val="single" w:sz="6" w:space="0" w:color="000000"/>
            </w:tcBorders>
          </w:tcPr>
          <w:p w14:paraId="350FAB3E"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5292817"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06F3C789"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13A89B1" w14:textId="77777777" w:rsidR="00C2671E" w:rsidRPr="00CC188A" w:rsidRDefault="00C2671E" w:rsidP="00494517">
            <w:pPr>
              <w:bidi/>
              <w:ind w:left="738"/>
              <w:rPr>
                <w:lang w:val="en-GB"/>
              </w:rPr>
            </w:pPr>
          </w:p>
        </w:tc>
      </w:tr>
      <w:tr w:rsidR="00C2671E" w:rsidRPr="00CC188A" w14:paraId="12B6A4C0"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4BA30ABB" w14:textId="77777777" w:rsidR="00FF2F44" w:rsidRPr="00CC188A" w:rsidRDefault="00FF2F44" w:rsidP="00494517">
            <w:pPr>
              <w:bidi/>
              <w:rPr>
                <w:lang w:val="en-GB"/>
              </w:rPr>
            </w:pPr>
          </w:p>
          <w:p w14:paraId="56D67C28" w14:textId="62FA56BF" w:rsidR="00C2671E" w:rsidRPr="00CC188A" w:rsidRDefault="00362F3A" w:rsidP="00362F3A">
            <w:pPr>
              <w:bidi/>
              <w:rPr>
                <w:lang w:val="en-GB"/>
              </w:rPr>
            </w:pPr>
            <w:r>
              <w:rPr>
                <w:rFonts w:hint="cs"/>
                <w:rtl/>
                <w:lang w:val="en-GB"/>
              </w:rPr>
              <w:t xml:space="preserve">المعايير الدنيا لحماية الطفل متوفّرة ومتاحة بسهولة لجميع المنظّمات التي تعمل من أجل الأطفال (مثلاً النسخ المطبوعة، ونسخة </w:t>
            </w:r>
            <w:r w:rsidRPr="00CC188A">
              <w:rPr>
                <w:lang w:val="en-GB"/>
              </w:rPr>
              <w:t>PDF</w:t>
            </w:r>
            <w:r>
              <w:rPr>
                <w:rFonts w:hint="cs"/>
                <w:rtl/>
                <w:lang w:val="en-GB"/>
              </w:rPr>
              <w:t>، ونسخة على الإنترنت، وتطبيق شراكة المعايير الإنسانية)</w:t>
            </w:r>
          </w:p>
        </w:tc>
        <w:tc>
          <w:tcPr>
            <w:tcW w:w="1134" w:type="dxa"/>
            <w:tcBorders>
              <w:top w:val="single" w:sz="6" w:space="0" w:color="000000"/>
              <w:left w:val="single" w:sz="6" w:space="0" w:color="000000"/>
              <w:bottom w:val="single" w:sz="6" w:space="0" w:color="000000"/>
              <w:right w:val="single" w:sz="6" w:space="0" w:color="000000"/>
            </w:tcBorders>
          </w:tcPr>
          <w:p w14:paraId="7D65F41A"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4B528706"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3812DB81"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467BB409" w14:textId="77777777" w:rsidR="00C2671E" w:rsidRPr="00CC188A" w:rsidRDefault="00C2671E" w:rsidP="00494517">
            <w:pPr>
              <w:bidi/>
              <w:ind w:left="738"/>
              <w:rPr>
                <w:lang w:val="en-GB"/>
              </w:rPr>
            </w:pPr>
          </w:p>
        </w:tc>
      </w:tr>
      <w:tr w:rsidR="00C2671E" w:rsidRPr="00CC188A" w14:paraId="22B126B6"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725EB8CC" w14:textId="77777777" w:rsidR="00FF2F44" w:rsidRPr="00CC188A" w:rsidRDefault="00FF2F44" w:rsidP="00494517">
            <w:pPr>
              <w:bidi/>
              <w:rPr>
                <w:lang w:val="en-GB"/>
              </w:rPr>
            </w:pPr>
          </w:p>
          <w:p w14:paraId="04B425F6" w14:textId="767B3AB3" w:rsidR="00C2671E" w:rsidRPr="00CC188A" w:rsidRDefault="00362F3A" w:rsidP="00032088">
            <w:pPr>
              <w:bidi/>
              <w:rPr>
                <w:lang w:val="en-GB"/>
              </w:rPr>
            </w:pPr>
            <w:r>
              <w:rPr>
                <w:rFonts w:hint="cs"/>
                <w:rtl/>
                <w:lang w:val="en-GB"/>
              </w:rPr>
              <w:t xml:space="preserve">آلية تنسيق حماية الطفل </w:t>
            </w:r>
            <w:r w:rsidR="00375690">
              <w:rPr>
                <w:rFonts w:hint="cs"/>
                <w:rtl/>
                <w:lang w:val="en-GB"/>
              </w:rPr>
              <w:t>تلتقط</w:t>
            </w:r>
            <w:r w:rsidR="00032088">
              <w:rPr>
                <w:rFonts w:hint="cs"/>
                <w:rtl/>
                <w:lang w:val="en-GB"/>
              </w:rPr>
              <w:t xml:space="preserve"> التعلّم، وتوزّع المعلومات، وترجع تغذية</w:t>
            </w:r>
            <w:r w:rsidR="00375690">
              <w:rPr>
                <w:rFonts w:hint="cs"/>
                <w:rtl/>
                <w:lang w:val="en-GB"/>
              </w:rPr>
              <w:t xml:space="preserve"> </w:t>
            </w:r>
            <w:r>
              <w:rPr>
                <w:rFonts w:hint="cs"/>
                <w:rtl/>
                <w:lang w:val="en-GB"/>
              </w:rPr>
              <w:t>المدخَلات</w:t>
            </w:r>
            <w:r w:rsidR="00032088">
              <w:rPr>
                <w:rFonts w:hint="cs"/>
                <w:rtl/>
                <w:lang w:val="en-GB"/>
              </w:rPr>
              <w:t xml:space="preserve"> إلى عملية المعايير الدنيا لحماية الطفل الأوسع نطاقًا. </w:t>
            </w:r>
            <w:r>
              <w:rPr>
                <w:rFonts w:hint="cs"/>
                <w:rtl/>
                <w:lang w:val="en-GB"/>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0E21140E"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260B0DB7"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119FAE7"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CBB2618" w14:textId="77777777" w:rsidR="00C2671E" w:rsidRPr="00CC188A" w:rsidRDefault="00C2671E" w:rsidP="00494517">
            <w:pPr>
              <w:bidi/>
              <w:ind w:left="738"/>
              <w:rPr>
                <w:lang w:val="en-GB"/>
              </w:rPr>
            </w:pPr>
          </w:p>
        </w:tc>
      </w:tr>
      <w:tr w:rsidR="00C2671E" w:rsidRPr="00CC188A" w14:paraId="1B02BA11" w14:textId="77777777" w:rsidTr="002231B3">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E65A3F3" w14:textId="77777777" w:rsidR="00FF2F44" w:rsidRPr="00CC188A" w:rsidRDefault="00FF2F44" w:rsidP="00494517">
            <w:pPr>
              <w:bidi/>
              <w:rPr>
                <w:b/>
                <w:sz w:val="16"/>
                <w:szCs w:val="16"/>
                <w:lang w:val="en-GB"/>
              </w:rPr>
            </w:pPr>
          </w:p>
          <w:p w14:paraId="0126CC3E" w14:textId="3693A136" w:rsidR="00C2671E" w:rsidRPr="00032088" w:rsidRDefault="00032088" w:rsidP="00494517">
            <w:pPr>
              <w:bidi/>
              <w:rPr>
                <w:bCs/>
                <w:lang w:val="en-GB"/>
              </w:rPr>
            </w:pPr>
            <w:r w:rsidRPr="00032088">
              <w:rPr>
                <w:rFonts w:hint="cs"/>
                <w:bCs/>
                <w:rtl/>
                <w:lang w:val="en-GB"/>
              </w:rPr>
              <w:t>الموارد البشرية</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8761BDF" w14:textId="77777777" w:rsidR="00C2671E" w:rsidRPr="00CC188A" w:rsidRDefault="00C2671E" w:rsidP="00494517">
            <w:pPr>
              <w:bidi/>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6182070" w14:textId="77777777" w:rsidR="00C2671E" w:rsidRPr="00CC188A" w:rsidRDefault="00C2671E" w:rsidP="00494517">
            <w:pPr>
              <w:bidi/>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A1599B" w14:textId="77777777" w:rsidR="00C2671E" w:rsidRPr="00CC188A" w:rsidRDefault="00C2671E" w:rsidP="00494517">
            <w:pPr>
              <w:bidi/>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6F75EF5" w14:textId="77777777" w:rsidR="00C2671E" w:rsidRPr="00CC188A" w:rsidRDefault="00C2671E" w:rsidP="00494517">
            <w:pPr>
              <w:bidi/>
              <w:rPr>
                <w:lang w:val="en-GB"/>
              </w:rPr>
            </w:pPr>
          </w:p>
        </w:tc>
      </w:tr>
      <w:tr w:rsidR="00C2671E" w:rsidRPr="00CC188A" w14:paraId="4E5AA9FB"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4A9477FC" w14:textId="77777777" w:rsidR="00822224" w:rsidRPr="00CC188A" w:rsidRDefault="00822224" w:rsidP="00494517">
            <w:pPr>
              <w:bidi/>
              <w:rPr>
                <w:sz w:val="16"/>
                <w:szCs w:val="16"/>
                <w:lang w:val="en-GB"/>
              </w:rPr>
            </w:pPr>
          </w:p>
          <w:p w14:paraId="52A8E894" w14:textId="26AA8EF0" w:rsidR="00C2671E" w:rsidRPr="00CC188A" w:rsidRDefault="00032088" w:rsidP="0014593B">
            <w:pPr>
              <w:bidi/>
              <w:rPr>
                <w:lang w:val="en-GB"/>
              </w:rPr>
            </w:pPr>
            <w:r>
              <w:rPr>
                <w:rFonts w:hint="cs"/>
                <w:rtl/>
                <w:lang w:val="en-GB"/>
              </w:rPr>
              <w:t xml:space="preserve">توصيفات الوظائف والشروط المرجعية لمنسّقي حماية الطفل </w:t>
            </w:r>
            <w:r w:rsidR="0014593B">
              <w:rPr>
                <w:rFonts w:hint="cs"/>
                <w:rtl/>
                <w:lang w:val="en-GB"/>
              </w:rPr>
              <w:t>تحيل إلى</w:t>
            </w:r>
            <w:r>
              <w:rPr>
                <w:rFonts w:hint="cs"/>
                <w:rtl/>
                <w:lang w:val="en-GB"/>
              </w:rPr>
              <w:t xml:space="preserve"> المعايير الدنيا لحماية الطفل</w:t>
            </w:r>
          </w:p>
        </w:tc>
        <w:tc>
          <w:tcPr>
            <w:tcW w:w="1134" w:type="dxa"/>
            <w:tcBorders>
              <w:top w:val="single" w:sz="6" w:space="0" w:color="000000"/>
              <w:left w:val="single" w:sz="6" w:space="0" w:color="000000"/>
              <w:bottom w:val="single" w:sz="6" w:space="0" w:color="000000"/>
              <w:right w:val="single" w:sz="6" w:space="0" w:color="000000"/>
            </w:tcBorders>
          </w:tcPr>
          <w:p w14:paraId="34EF5DC4"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DED0689"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920A9E8"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52317F4" w14:textId="77777777" w:rsidR="00C2671E" w:rsidRPr="00CC188A" w:rsidRDefault="00C2671E" w:rsidP="00494517">
            <w:pPr>
              <w:bidi/>
              <w:ind w:left="738"/>
              <w:rPr>
                <w:lang w:val="en-GB"/>
              </w:rPr>
            </w:pPr>
          </w:p>
        </w:tc>
      </w:tr>
      <w:tr w:rsidR="00C2671E" w:rsidRPr="00CC188A" w14:paraId="3D4BC892" w14:textId="77777777" w:rsidTr="002231B3">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D84EEE4" w14:textId="33991AF8" w:rsidR="00C2671E" w:rsidRPr="00CC188A" w:rsidRDefault="00C2671E" w:rsidP="00494517">
            <w:pPr>
              <w:bidi/>
              <w:rPr>
                <w:b/>
                <w:lang w:val="en-GB"/>
              </w:rPr>
            </w:pPr>
          </w:p>
          <w:p w14:paraId="0737E0D2" w14:textId="319C6279" w:rsidR="00FF2F44" w:rsidRPr="00032088" w:rsidRDefault="00032088" w:rsidP="00494517">
            <w:pPr>
              <w:bidi/>
              <w:rPr>
                <w:bCs/>
                <w:lang w:val="en-GB"/>
              </w:rPr>
            </w:pPr>
            <w:r w:rsidRPr="00032088">
              <w:rPr>
                <w:rFonts w:hint="cs"/>
                <w:bCs/>
                <w:rtl/>
                <w:lang w:val="en-GB"/>
              </w:rPr>
              <w:t>التقدير</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5B89B94" w14:textId="77777777" w:rsidR="00C2671E" w:rsidRPr="00CC188A" w:rsidRDefault="00C2671E" w:rsidP="00494517">
            <w:pPr>
              <w:bidi/>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353497" w14:textId="77777777" w:rsidR="00C2671E" w:rsidRPr="00CC188A" w:rsidRDefault="00C2671E" w:rsidP="00494517">
            <w:pPr>
              <w:bidi/>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22F44B3" w14:textId="77777777" w:rsidR="00C2671E" w:rsidRPr="00CC188A" w:rsidRDefault="00C2671E" w:rsidP="00494517">
            <w:pPr>
              <w:bidi/>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3A6B3136" w14:textId="77777777" w:rsidR="00C2671E" w:rsidRPr="00CC188A" w:rsidRDefault="00C2671E" w:rsidP="00494517">
            <w:pPr>
              <w:bidi/>
              <w:rPr>
                <w:lang w:val="en-GB"/>
              </w:rPr>
            </w:pPr>
          </w:p>
        </w:tc>
      </w:tr>
      <w:tr w:rsidR="00C2671E" w:rsidRPr="00CC188A" w14:paraId="37F8706A"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3D6A84AE" w14:textId="77777777" w:rsidR="00822224" w:rsidRPr="00CC188A" w:rsidRDefault="00822224" w:rsidP="00494517">
            <w:pPr>
              <w:bidi/>
              <w:rPr>
                <w:sz w:val="16"/>
                <w:szCs w:val="16"/>
                <w:lang w:val="en-GB"/>
              </w:rPr>
            </w:pPr>
          </w:p>
          <w:p w14:paraId="1F5A6EB8" w14:textId="3AC2962A" w:rsidR="00743B97" w:rsidRPr="00CC188A" w:rsidRDefault="00032088" w:rsidP="00032088">
            <w:pPr>
              <w:bidi/>
              <w:rPr>
                <w:lang w:val="en-GB"/>
              </w:rPr>
            </w:pPr>
            <w:r>
              <w:rPr>
                <w:rFonts w:hint="cs"/>
                <w:rtl/>
                <w:lang w:val="en-GB"/>
              </w:rPr>
              <w:t>عمليات التقدير المشتركة بين الوكالات والمتعدّدة القطاعات تدمج المبادئ العشرة للمعايير الدنيا لحماية الطفل.</w:t>
            </w:r>
            <w:r w:rsidR="00C2671E" w:rsidRPr="00CC188A">
              <w:rPr>
                <w:lang w:val="en-GB"/>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6B564EF9"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920A742"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24BD721C"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12CF5B90" w14:textId="77777777" w:rsidR="00C2671E" w:rsidRPr="00CC188A" w:rsidRDefault="00C2671E" w:rsidP="00494517">
            <w:pPr>
              <w:bidi/>
              <w:ind w:left="738"/>
              <w:rPr>
                <w:lang w:val="en-GB"/>
              </w:rPr>
            </w:pPr>
          </w:p>
        </w:tc>
      </w:tr>
      <w:tr w:rsidR="00C2671E" w:rsidRPr="00CC188A" w14:paraId="664256CB"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1A1F9EEC" w14:textId="77777777" w:rsidR="00FF2F44" w:rsidRPr="00CC188A" w:rsidRDefault="00FF2F44" w:rsidP="00494517">
            <w:pPr>
              <w:bidi/>
              <w:rPr>
                <w:sz w:val="16"/>
                <w:szCs w:val="16"/>
                <w:lang w:val="en-GB"/>
              </w:rPr>
            </w:pPr>
          </w:p>
          <w:p w14:paraId="50FD68D3" w14:textId="77777777" w:rsidR="00C2671E" w:rsidRPr="00CC188A" w:rsidRDefault="00FA7464" w:rsidP="00BB2D71">
            <w:pPr>
              <w:bidi/>
              <w:rPr>
                <w:lang w:val="en-GB"/>
              </w:rPr>
            </w:pPr>
            <w:sdt>
              <w:sdtPr>
                <w:rPr>
                  <w:rtl/>
                  <w:lang w:val="en-GB"/>
                </w:rPr>
                <w:tag w:val="goog_rdk_2"/>
                <w:id w:val="430326079"/>
              </w:sdtPr>
              <w:sdtEndPr/>
              <w:sdtContent>
                <w:r w:rsidR="00032088">
                  <w:rPr>
                    <w:rFonts w:hint="cs"/>
                    <w:rtl/>
                    <w:lang w:val="en-GB"/>
                  </w:rPr>
                  <w:t xml:space="preserve">عمليات التقدير المشتركة بين الوكالات، الخاصّة بحماية الطفل والمتعدّدة القطاعات، تستخدم الإطار الاجتماعي الإيكولوجي لفهم حماية ورفاه الأطفال (أي قياس العوامل </w:t>
                </w:r>
                <w:r w:rsidR="00BB2D71">
                  <w:rPr>
                    <w:rFonts w:hint="cs"/>
                    <w:rtl/>
                    <w:lang w:val="en-GB"/>
                  </w:rPr>
                  <w:t>على مستوى الطفل، والعائلة، والمجتمع المحلّي، والمجتمع ككلّ)</w:t>
                </w:r>
                <w:r w:rsidR="00032088">
                  <w:rPr>
                    <w:rFonts w:hint="cs"/>
                    <w:rtl/>
                    <w:lang w:val="en-GB"/>
                  </w:rPr>
                  <w:t xml:space="preserve"> </w:t>
                </w:r>
              </w:sdtContent>
            </w:sdt>
          </w:p>
        </w:tc>
        <w:sdt>
          <w:sdtPr>
            <w:rPr>
              <w:rtl/>
              <w:lang w:val="en-GB"/>
            </w:rPr>
            <w:tag w:val="goog_rdk_3"/>
            <w:id w:val="1264112467"/>
          </w:sdtPr>
          <w:sdtEndPr/>
          <w:sdtContent>
            <w:tc>
              <w:tcPr>
                <w:tcW w:w="1134" w:type="dxa"/>
                <w:tcBorders>
                  <w:top w:val="single" w:sz="6" w:space="0" w:color="000000"/>
                  <w:left w:val="single" w:sz="6" w:space="0" w:color="000000"/>
                  <w:bottom w:val="single" w:sz="6" w:space="0" w:color="000000"/>
                  <w:right w:val="single" w:sz="6" w:space="0" w:color="000000"/>
                </w:tcBorders>
              </w:tcPr>
              <w:sdt>
                <w:sdtPr>
                  <w:rPr>
                    <w:rtl/>
                    <w:lang w:val="en-GB"/>
                  </w:rPr>
                  <w:tag w:val="goog_rdk_4"/>
                  <w:id w:val="1546945502"/>
                  <w:showingPlcHdr/>
                </w:sdtPr>
                <w:sdtEndPr/>
                <w:sdtContent>
                  <w:p w14:paraId="24AB4A16" w14:textId="163445D2" w:rsidR="00C2671E" w:rsidRPr="00CC188A" w:rsidRDefault="00F07C55" w:rsidP="00494517">
                    <w:pPr>
                      <w:bidi/>
                      <w:ind w:left="738"/>
                      <w:rPr>
                        <w:lang w:val="en-GB"/>
                      </w:rPr>
                    </w:pPr>
                    <w:r w:rsidRPr="00CC188A">
                      <w:rPr>
                        <w:lang w:val="en-GB"/>
                      </w:rPr>
                      <w:t xml:space="preserve">     </w:t>
                    </w:r>
                  </w:p>
                </w:sdtContent>
              </w:sdt>
            </w:tc>
          </w:sdtContent>
        </w:sdt>
        <w:sdt>
          <w:sdtPr>
            <w:rPr>
              <w:rtl/>
              <w:lang w:val="en-GB"/>
            </w:rPr>
            <w:tag w:val="goog_rdk_5"/>
            <w:id w:val="1754550282"/>
          </w:sdtPr>
          <w:sdtEndPr/>
          <w:sdtContent>
            <w:tc>
              <w:tcPr>
                <w:tcW w:w="1018" w:type="dxa"/>
                <w:tcBorders>
                  <w:top w:val="single" w:sz="6" w:space="0" w:color="000000"/>
                  <w:left w:val="single" w:sz="6" w:space="0" w:color="000000"/>
                  <w:bottom w:val="single" w:sz="6" w:space="0" w:color="000000"/>
                  <w:right w:val="single" w:sz="6" w:space="0" w:color="000000"/>
                </w:tcBorders>
              </w:tcPr>
              <w:sdt>
                <w:sdtPr>
                  <w:rPr>
                    <w:rtl/>
                    <w:lang w:val="en-GB"/>
                  </w:rPr>
                  <w:tag w:val="goog_rdk_6"/>
                  <w:id w:val="2145390194"/>
                  <w:showingPlcHdr/>
                </w:sdtPr>
                <w:sdtEndPr/>
                <w:sdtContent>
                  <w:p w14:paraId="5A45E2E4" w14:textId="5F545F72" w:rsidR="00C2671E" w:rsidRPr="00CC188A" w:rsidRDefault="00FF2F44" w:rsidP="00494517">
                    <w:pPr>
                      <w:bidi/>
                      <w:ind w:left="738"/>
                      <w:rPr>
                        <w:lang w:val="en-GB"/>
                      </w:rPr>
                    </w:pPr>
                    <w:r w:rsidRPr="00CC188A">
                      <w:rPr>
                        <w:lang w:val="en-GB"/>
                      </w:rPr>
                      <w:t xml:space="preserve">     </w:t>
                    </w:r>
                  </w:p>
                </w:sdtContent>
              </w:sdt>
            </w:tc>
          </w:sdtContent>
        </w:sdt>
        <w:sdt>
          <w:sdtPr>
            <w:rPr>
              <w:rtl/>
              <w:lang w:val="en-GB"/>
            </w:rPr>
            <w:tag w:val="goog_rdk_7"/>
            <w:id w:val="367421869"/>
          </w:sdtPr>
          <w:sdtEndPr/>
          <w:sdtContent>
            <w:tc>
              <w:tcPr>
                <w:tcW w:w="992" w:type="dxa"/>
                <w:tcBorders>
                  <w:top w:val="single" w:sz="6" w:space="0" w:color="000000"/>
                  <w:left w:val="single" w:sz="6" w:space="0" w:color="000000"/>
                  <w:bottom w:val="single" w:sz="6" w:space="0" w:color="000000"/>
                  <w:right w:val="single" w:sz="6" w:space="0" w:color="000000"/>
                </w:tcBorders>
              </w:tcPr>
              <w:sdt>
                <w:sdtPr>
                  <w:rPr>
                    <w:rtl/>
                    <w:lang w:val="en-GB"/>
                  </w:rPr>
                  <w:tag w:val="goog_rdk_8"/>
                  <w:id w:val="-173957450"/>
                  <w:showingPlcHdr/>
                </w:sdtPr>
                <w:sdtEndPr/>
                <w:sdtContent>
                  <w:p w14:paraId="461E27CF" w14:textId="3BEA22F6" w:rsidR="00C2671E" w:rsidRPr="00CC188A" w:rsidRDefault="00FF2F44" w:rsidP="00494517">
                    <w:pPr>
                      <w:bidi/>
                      <w:ind w:left="738"/>
                      <w:rPr>
                        <w:lang w:val="en-GB"/>
                      </w:rPr>
                    </w:pPr>
                    <w:r w:rsidRPr="00CC188A">
                      <w:rPr>
                        <w:lang w:val="en-GB"/>
                      </w:rPr>
                      <w:t xml:space="preserve">     </w:t>
                    </w:r>
                  </w:p>
                </w:sdtContent>
              </w:sdt>
            </w:tc>
          </w:sdtContent>
        </w:sdt>
        <w:sdt>
          <w:sdtPr>
            <w:rPr>
              <w:rtl/>
              <w:lang w:val="en-GB"/>
            </w:rPr>
            <w:tag w:val="goog_rdk_9"/>
            <w:id w:val="1965776680"/>
          </w:sdtPr>
          <w:sdtEndPr/>
          <w:sdtContent>
            <w:tc>
              <w:tcPr>
                <w:tcW w:w="1008" w:type="dxa"/>
                <w:tcBorders>
                  <w:top w:val="single" w:sz="6" w:space="0" w:color="000000"/>
                  <w:left w:val="single" w:sz="6" w:space="0" w:color="000000"/>
                  <w:bottom w:val="single" w:sz="6" w:space="0" w:color="000000"/>
                  <w:right w:val="single" w:sz="6" w:space="0" w:color="000000"/>
                </w:tcBorders>
              </w:tcPr>
              <w:sdt>
                <w:sdtPr>
                  <w:rPr>
                    <w:rtl/>
                    <w:lang w:val="en-GB"/>
                  </w:rPr>
                  <w:tag w:val="goog_rdk_10"/>
                  <w:id w:val="1909880488"/>
                  <w:showingPlcHdr/>
                </w:sdtPr>
                <w:sdtEndPr/>
                <w:sdtContent>
                  <w:p w14:paraId="0DEA0805" w14:textId="31328441" w:rsidR="00C2671E" w:rsidRPr="00CC188A" w:rsidRDefault="00FF2F44" w:rsidP="00494517">
                    <w:pPr>
                      <w:bidi/>
                      <w:ind w:left="738"/>
                      <w:rPr>
                        <w:lang w:val="en-GB"/>
                      </w:rPr>
                    </w:pPr>
                    <w:r w:rsidRPr="00CC188A">
                      <w:rPr>
                        <w:lang w:val="en-GB"/>
                      </w:rPr>
                      <w:t xml:space="preserve">     </w:t>
                    </w:r>
                  </w:p>
                </w:sdtContent>
              </w:sdt>
            </w:tc>
          </w:sdtContent>
        </w:sdt>
      </w:tr>
      <w:tr w:rsidR="00FF2F44" w:rsidRPr="00CC188A" w14:paraId="1C3AE604"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61DB0D63" w14:textId="77777777" w:rsidR="00FF2F44" w:rsidRPr="00CC188A" w:rsidRDefault="00FF2F44" w:rsidP="00494517">
            <w:pPr>
              <w:bidi/>
              <w:rPr>
                <w:sz w:val="16"/>
                <w:szCs w:val="16"/>
                <w:lang w:val="en-GB"/>
              </w:rPr>
            </w:pPr>
          </w:p>
        </w:tc>
        <w:tc>
          <w:tcPr>
            <w:tcW w:w="1134" w:type="dxa"/>
            <w:tcBorders>
              <w:top w:val="single" w:sz="6" w:space="0" w:color="000000"/>
              <w:left w:val="single" w:sz="6" w:space="0" w:color="000000"/>
              <w:bottom w:val="single" w:sz="6" w:space="0" w:color="000000"/>
              <w:right w:val="single" w:sz="6" w:space="0" w:color="000000"/>
            </w:tcBorders>
          </w:tcPr>
          <w:p w14:paraId="2B9D7398" w14:textId="77777777" w:rsidR="00FF2F44" w:rsidRPr="00CC188A" w:rsidRDefault="00FF2F44"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26865E2" w14:textId="77777777" w:rsidR="00FF2F44" w:rsidRPr="00CC188A" w:rsidRDefault="00FF2F44"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0A197CE0" w14:textId="77777777" w:rsidR="00FF2F44" w:rsidRPr="00CC188A" w:rsidRDefault="00FF2F44"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0ED854D3" w14:textId="77777777" w:rsidR="00FF2F44" w:rsidRPr="00CC188A" w:rsidRDefault="00FF2F44" w:rsidP="00494517">
            <w:pPr>
              <w:bidi/>
              <w:ind w:left="738"/>
              <w:rPr>
                <w:lang w:val="en-GB"/>
              </w:rPr>
            </w:pPr>
          </w:p>
        </w:tc>
      </w:tr>
      <w:tr w:rsidR="00C2671E" w:rsidRPr="00CC188A" w14:paraId="6B94D94D" w14:textId="77777777" w:rsidTr="002231B3">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7429324" w14:textId="77777777" w:rsidR="00FF2F44" w:rsidRPr="00CC188A" w:rsidRDefault="00FF2F44" w:rsidP="00494517">
            <w:pPr>
              <w:bidi/>
              <w:rPr>
                <w:b/>
                <w:sz w:val="16"/>
                <w:szCs w:val="16"/>
                <w:lang w:val="en-GB"/>
              </w:rPr>
            </w:pPr>
            <w:bookmarkStart w:id="1" w:name="_GoBack"/>
          </w:p>
          <w:p w14:paraId="1A08A5AE" w14:textId="37B19F26" w:rsidR="00FF2F44" w:rsidRPr="00BB2D71" w:rsidRDefault="00BB2D71" w:rsidP="00494517">
            <w:pPr>
              <w:bidi/>
              <w:rPr>
                <w:bCs/>
                <w:lang w:val="en-GB"/>
              </w:rPr>
            </w:pPr>
            <w:r w:rsidRPr="00BB2D71">
              <w:rPr>
                <w:rFonts w:hint="cs"/>
                <w:bCs/>
                <w:rtl/>
                <w:lang w:val="en-GB"/>
              </w:rPr>
              <w:t>تصميم البرامج والإبلاغ</w:t>
            </w:r>
            <w:r w:rsidR="00C2671E" w:rsidRPr="00BB2D71">
              <w:rPr>
                <w:bCs/>
                <w:lang w:val="en-GB"/>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C8C852" w14:textId="77777777" w:rsidR="00C2671E" w:rsidRPr="00CC188A" w:rsidRDefault="00C2671E" w:rsidP="00494517">
            <w:pPr>
              <w:bidi/>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B9CFE7" w14:textId="77777777" w:rsidR="00C2671E" w:rsidRPr="00CC188A" w:rsidRDefault="00C2671E" w:rsidP="00494517">
            <w:pPr>
              <w:bidi/>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6989CA" w14:textId="77777777" w:rsidR="00C2671E" w:rsidRPr="00CC188A" w:rsidRDefault="00C2671E" w:rsidP="00494517">
            <w:pPr>
              <w:bidi/>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63D7DF0D" w14:textId="77777777" w:rsidR="00C2671E" w:rsidRPr="00CC188A" w:rsidRDefault="00C2671E" w:rsidP="00494517">
            <w:pPr>
              <w:bidi/>
              <w:rPr>
                <w:lang w:val="en-GB"/>
              </w:rPr>
            </w:pPr>
          </w:p>
        </w:tc>
      </w:tr>
      <w:bookmarkEnd w:id="1"/>
      <w:tr w:rsidR="00C2671E" w:rsidRPr="00CC188A" w14:paraId="2C59E164" w14:textId="77777777" w:rsidTr="002231B3">
        <w:trPr>
          <w:trHeight w:val="867"/>
        </w:trPr>
        <w:tc>
          <w:tcPr>
            <w:tcW w:w="5928" w:type="dxa"/>
            <w:tcBorders>
              <w:top w:val="single" w:sz="6" w:space="0" w:color="000000"/>
              <w:left w:val="single" w:sz="6" w:space="0" w:color="000000"/>
              <w:bottom w:val="single" w:sz="6" w:space="0" w:color="000000"/>
              <w:right w:val="single" w:sz="6" w:space="0" w:color="000000"/>
            </w:tcBorders>
          </w:tcPr>
          <w:p w14:paraId="3D2CCF94" w14:textId="77777777" w:rsidR="00FF2F44" w:rsidRPr="00CC188A" w:rsidRDefault="00FF2F44" w:rsidP="00494517">
            <w:pPr>
              <w:bidi/>
              <w:rPr>
                <w:sz w:val="16"/>
                <w:szCs w:val="16"/>
                <w:lang w:val="en-GB"/>
              </w:rPr>
            </w:pPr>
          </w:p>
          <w:p w14:paraId="4861482C" w14:textId="10051AF6" w:rsidR="00C2671E" w:rsidRPr="00CC188A" w:rsidRDefault="00BB2D71" w:rsidP="00BB2D71">
            <w:pPr>
              <w:bidi/>
              <w:rPr>
                <w:lang w:val="en-GB"/>
              </w:rPr>
            </w:pPr>
            <w:r>
              <w:rPr>
                <w:rFonts w:hint="cs"/>
                <w:rtl/>
                <w:lang w:val="en-GB"/>
              </w:rPr>
              <w:t xml:space="preserve"> المعايير الدنيا لحماية الطفل، بما فيها المؤشّرات، قد تمّ تكييفها لتناسب السياق المحلّي من خلال ورش</w:t>
            </w:r>
            <w:r w:rsidR="0014593B">
              <w:rPr>
                <w:rFonts w:hint="cs"/>
                <w:rtl/>
                <w:lang w:val="en-GB"/>
              </w:rPr>
              <w:t>ة (ورش)</w:t>
            </w:r>
            <w:r>
              <w:rPr>
                <w:rFonts w:hint="cs"/>
                <w:rtl/>
                <w:lang w:val="en-GB"/>
              </w:rPr>
              <w:t xml:space="preserve"> عمل ضمن آلية تنسيق حماية الطفل. </w:t>
            </w:r>
            <w:sdt>
              <w:sdtPr>
                <w:rPr>
                  <w:rtl/>
                  <w:lang w:val="en-GB"/>
                </w:rPr>
                <w:tag w:val="goog_rdk_11"/>
                <w:id w:val="1392003298"/>
                <w:showingPlcHdr/>
              </w:sdtPr>
              <w:sdtEndPr/>
              <w:sdtContent>
                <w:r>
                  <w:rPr>
                    <w:rtl/>
                    <w:lang w:val="en-GB"/>
                  </w:rPr>
                  <w:t xml:space="preserve">     </w:t>
                </w:r>
              </w:sdtContent>
            </w:sdt>
          </w:p>
        </w:tc>
        <w:tc>
          <w:tcPr>
            <w:tcW w:w="1134" w:type="dxa"/>
            <w:tcBorders>
              <w:top w:val="single" w:sz="6" w:space="0" w:color="000000"/>
              <w:left w:val="single" w:sz="6" w:space="0" w:color="000000"/>
              <w:bottom w:val="single" w:sz="6" w:space="0" w:color="000000"/>
              <w:right w:val="single" w:sz="6" w:space="0" w:color="000000"/>
            </w:tcBorders>
          </w:tcPr>
          <w:p w14:paraId="571A9AB9"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2AE83C6"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C02113A"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65BD728" w14:textId="77777777" w:rsidR="00C2671E" w:rsidRPr="00CC188A" w:rsidRDefault="00C2671E" w:rsidP="00494517">
            <w:pPr>
              <w:bidi/>
              <w:ind w:left="738"/>
              <w:rPr>
                <w:lang w:val="en-GB"/>
              </w:rPr>
            </w:pPr>
          </w:p>
        </w:tc>
      </w:tr>
      <w:tr w:rsidR="00C2671E" w:rsidRPr="00CC188A" w14:paraId="5742B753"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1F56A9B4" w14:textId="77777777" w:rsidR="00FF2F44" w:rsidRPr="00CC188A" w:rsidRDefault="00FF2F44" w:rsidP="00494517">
            <w:pPr>
              <w:bidi/>
              <w:rPr>
                <w:sz w:val="16"/>
                <w:szCs w:val="16"/>
                <w:lang w:val="en-GB"/>
              </w:rPr>
            </w:pPr>
          </w:p>
          <w:p w14:paraId="0F28743A" w14:textId="7D18C999" w:rsidR="00C2671E" w:rsidRPr="00CC188A" w:rsidRDefault="00BB2D71" w:rsidP="00BB2D71">
            <w:pPr>
              <w:bidi/>
              <w:rPr>
                <w:lang w:val="en-GB"/>
              </w:rPr>
            </w:pPr>
            <w:r>
              <w:rPr>
                <w:rFonts w:hint="cs"/>
                <w:rtl/>
                <w:lang w:val="en-GB"/>
              </w:rPr>
              <w:t xml:space="preserve">البرامج والمناصرة بشأن حماية الطفل يتمّ تصميمها ورصدها بالمقارنة مع المعايير الدنيا لحماية الطفل ومؤشّرات مختارة.  </w:t>
            </w:r>
            <w:r w:rsidR="00C2671E" w:rsidRPr="00CC188A">
              <w:rPr>
                <w:lang w:val="en-GB"/>
              </w:rPr>
              <w:t xml:space="preserve">  </w:t>
            </w:r>
          </w:p>
        </w:tc>
        <w:tc>
          <w:tcPr>
            <w:tcW w:w="1134" w:type="dxa"/>
            <w:tcBorders>
              <w:top w:val="single" w:sz="6" w:space="0" w:color="000000"/>
              <w:left w:val="single" w:sz="6" w:space="0" w:color="000000"/>
              <w:bottom w:val="single" w:sz="6" w:space="0" w:color="000000"/>
              <w:right w:val="single" w:sz="6" w:space="0" w:color="000000"/>
            </w:tcBorders>
          </w:tcPr>
          <w:p w14:paraId="1DFF7FB5"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DD303CA"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53454FB2"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50F4E7C" w14:textId="77777777" w:rsidR="00C2671E" w:rsidRPr="00CC188A" w:rsidRDefault="00C2671E" w:rsidP="00494517">
            <w:pPr>
              <w:bidi/>
              <w:ind w:left="738"/>
              <w:rPr>
                <w:lang w:val="en-GB"/>
              </w:rPr>
            </w:pPr>
          </w:p>
        </w:tc>
      </w:tr>
      <w:tr w:rsidR="00C2671E" w:rsidRPr="00CC188A" w14:paraId="1B4BA2AC"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56E96CF3" w14:textId="77777777" w:rsidR="00FF2F44" w:rsidRPr="00CC188A" w:rsidRDefault="00FF2F44" w:rsidP="00494517">
            <w:pPr>
              <w:bidi/>
              <w:rPr>
                <w:sz w:val="16"/>
                <w:szCs w:val="16"/>
                <w:lang w:val="en-GB"/>
              </w:rPr>
            </w:pPr>
          </w:p>
          <w:p w14:paraId="357FC18C" w14:textId="2598461B" w:rsidR="00C2671E" w:rsidRPr="00CC188A" w:rsidRDefault="00BB2D71" w:rsidP="00494517">
            <w:pPr>
              <w:bidi/>
              <w:rPr>
                <w:lang w:val="en-GB"/>
              </w:rPr>
            </w:pPr>
            <w:r>
              <w:rPr>
                <w:rFonts w:hint="cs"/>
                <w:rtl/>
                <w:lang w:val="en-GB"/>
              </w:rPr>
              <w:t xml:space="preserve">الحكومات يتمّ تشجيعها على استخدام المعايير الدنيا لحماية الطفل لإرشاد سياسات وممارسات الاستجابة الوطنية. </w:t>
            </w:r>
          </w:p>
        </w:tc>
        <w:tc>
          <w:tcPr>
            <w:tcW w:w="1134" w:type="dxa"/>
            <w:tcBorders>
              <w:top w:val="single" w:sz="6" w:space="0" w:color="000000"/>
              <w:left w:val="single" w:sz="6" w:space="0" w:color="000000"/>
              <w:bottom w:val="single" w:sz="6" w:space="0" w:color="000000"/>
              <w:right w:val="single" w:sz="6" w:space="0" w:color="000000"/>
            </w:tcBorders>
          </w:tcPr>
          <w:p w14:paraId="0130DBE6" w14:textId="77777777" w:rsidR="00C2671E" w:rsidRPr="00CC188A" w:rsidRDefault="00C2671E" w:rsidP="00494517">
            <w:pPr>
              <w:bidi/>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4A70B755" w14:textId="77777777" w:rsidR="00C2671E" w:rsidRPr="00CC188A" w:rsidRDefault="00C2671E" w:rsidP="00494517">
            <w:pPr>
              <w:bidi/>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1361B3C"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73BFAC8D" w14:textId="77777777" w:rsidR="00C2671E" w:rsidRPr="00CC188A" w:rsidRDefault="00C2671E" w:rsidP="00494517">
            <w:pPr>
              <w:bidi/>
              <w:ind w:left="738"/>
              <w:rPr>
                <w:lang w:val="en-GB"/>
              </w:rPr>
            </w:pPr>
          </w:p>
        </w:tc>
      </w:tr>
      <w:tr w:rsidR="00C2671E" w:rsidRPr="00CC188A" w14:paraId="5BD1C59B" w14:textId="77777777" w:rsidTr="002231B3">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D9005C1" w14:textId="77777777" w:rsidR="00FF2F44" w:rsidRPr="00CC188A" w:rsidRDefault="00FF2F44" w:rsidP="00494517">
            <w:pPr>
              <w:bidi/>
              <w:rPr>
                <w:b/>
                <w:sz w:val="16"/>
                <w:szCs w:val="16"/>
                <w:lang w:val="en-GB"/>
              </w:rPr>
            </w:pPr>
          </w:p>
          <w:p w14:paraId="3FAC674B" w14:textId="3B3E081B" w:rsidR="00C2671E" w:rsidRPr="00BB2D71" w:rsidRDefault="00BB2D71" w:rsidP="00BB2D71">
            <w:pPr>
              <w:bidi/>
              <w:rPr>
                <w:bCs/>
                <w:lang w:val="en-GB"/>
              </w:rPr>
            </w:pPr>
            <w:r w:rsidRPr="00BB2D71">
              <w:rPr>
                <w:rFonts w:hint="cs"/>
                <w:bCs/>
                <w:rtl/>
                <w:lang w:val="en-GB"/>
              </w:rPr>
              <w:t xml:space="preserve">التنسيق المشترك بين الوكالات </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40374AC" w14:textId="77777777" w:rsidR="00C2671E" w:rsidRPr="00CC188A" w:rsidRDefault="00C2671E" w:rsidP="00494517">
            <w:pPr>
              <w:bidi/>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39FCED1" w14:textId="77777777" w:rsidR="00C2671E" w:rsidRPr="00CC188A" w:rsidRDefault="00C2671E" w:rsidP="00494517">
            <w:pPr>
              <w:bidi/>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4CDE3B8" w14:textId="77777777" w:rsidR="00C2671E" w:rsidRPr="00CC188A" w:rsidRDefault="00C2671E" w:rsidP="00494517">
            <w:pPr>
              <w:bidi/>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A5E1BC" w14:textId="77777777" w:rsidR="00C2671E" w:rsidRPr="00CC188A" w:rsidRDefault="00C2671E" w:rsidP="00494517">
            <w:pPr>
              <w:bidi/>
              <w:rPr>
                <w:lang w:val="en-GB"/>
              </w:rPr>
            </w:pPr>
          </w:p>
        </w:tc>
      </w:tr>
      <w:tr w:rsidR="00C2671E" w:rsidRPr="00CC188A" w14:paraId="34B74BC3"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34F8BCF4" w14:textId="77777777" w:rsidR="00FF2F44" w:rsidRPr="00CC188A" w:rsidRDefault="00FF2F44" w:rsidP="00494517">
            <w:pPr>
              <w:bidi/>
              <w:rPr>
                <w:sz w:val="16"/>
                <w:szCs w:val="16"/>
                <w:lang w:val="en-GB"/>
              </w:rPr>
            </w:pPr>
          </w:p>
          <w:p w14:paraId="1996C31F" w14:textId="5E24E7B5" w:rsidR="00C2671E" w:rsidRPr="00CC188A" w:rsidRDefault="00BB2D71" w:rsidP="00BB2D71">
            <w:pPr>
              <w:bidi/>
              <w:rPr>
                <w:lang w:val="en-GB"/>
              </w:rPr>
            </w:pPr>
            <w:r>
              <w:rPr>
                <w:rFonts w:hint="cs"/>
                <w:rtl/>
                <w:lang w:val="en-GB"/>
              </w:rPr>
              <w:t xml:space="preserve">المعايير الدنيا لحماية الطفل يتمّ التعريف بها والإحالة إليها بشكل منهجي في اجتماعات التنسيق والتجمّعات. </w:t>
            </w:r>
          </w:p>
        </w:tc>
        <w:tc>
          <w:tcPr>
            <w:tcW w:w="1134" w:type="dxa"/>
            <w:tcBorders>
              <w:top w:val="single" w:sz="6" w:space="0" w:color="000000"/>
              <w:left w:val="single" w:sz="6" w:space="0" w:color="000000"/>
              <w:bottom w:val="single" w:sz="6" w:space="0" w:color="000000"/>
              <w:right w:val="single" w:sz="6" w:space="0" w:color="000000"/>
            </w:tcBorders>
          </w:tcPr>
          <w:p w14:paraId="47C840BF" w14:textId="77777777" w:rsidR="00C2671E" w:rsidRPr="00CC188A" w:rsidRDefault="00C2671E" w:rsidP="00494517">
            <w:pPr>
              <w:bidi/>
              <w:ind w:left="450"/>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868B9F9" w14:textId="77777777" w:rsidR="00C2671E" w:rsidRPr="00CC188A" w:rsidRDefault="00C2671E" w:rsidP="00494517">
            <w:pPr>
              <w:bidi/>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4B37674" w14:textId="77777777" w:rsidR="00C2671E" w:rsidRPr="00CC188A" w:rsidRDefault="00C2671E" w:rsidP="00494517">
            <w:pPr>
              <w:bidi/>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43D3F052" w14:textId="77777777" w:rsidR="00C2671E" w:rsidRPr="00CC188A" w:rsidRDefault="00C2671E" w:rsidP="00494517">
            <w:pPr>
              <w:bidi/>
              <w:ind w:left="738"/>
              <w:rPr>
                <w:lang w:val="en-GB"/>
              </w:rPr>
            </w:pPr>
          </w:p>
        </w:tc>
      </w:tr>
      <w:tr w:rsidR="00C2671E" w:rsidRPr="00CC188A" w14:paraId="08CF32C1" w14:textId="77777777" w:rsidTr="002231B3">
        <w:tc>
          <w:tcPr>
            <w:tcW w:w="5928" w:type="dxa"/>
            <w:tcBorders>
              <w:top w:val="single" w:sz="6" w:space="0" w:color="000000"/>
              <w:left w:val="single" w:sz="6" w:space="0" w:color="000000"/>
              <w:bottom w:val="single" w:sz="6" w:space="0" w:color="000000"/>
              <w:right w:val="single" w:sz="6" w:space="0" w:color="000000"/>
            </w:tcBorders>
          </w:tcPr>
          <w:p w14:paraId="7A6E1EDC" w14:textId="77777777" w:rsidR="00FF2F44" w:rsidRPr="00CC188A" w:rsidRDefault="00FF2F44" w:rsidP="00494517">
            <w:pPr>
              <w:bidi/>
              <w:rPr>
                <w:sz w:val="16"/>
                <w:szCs w:val="16"/>
                <w:lang w:val="en-GB"/>
              </w:rPr>
            </w:pPr>
          </w:p>
          <w:p w14:paraId="76E246BC" w14:textId="1CB20206" w:rsidR="00C2671E" w:rsidRPr="00CC188A" w:rsidRDefault="00BB2D71" w:rsidP="00494517">
            <w:pPr>
              <w:bidi/>
              <w:rPr>
                <w:lang w:val="en-GB"/>
              </w:rPr>
            </w:pPr>
            <w:r>
              <w:rPr>
                <w:rFonts w:hint="cs"/>
                <w:rtl/>
                <w:lang w:val="en-GB"/>
              </w:rPr>
              <w:t xml:space="preserve">اتّفاقيات التفاهم بين أعضاء مجموعات التنسيق تحيل إلى استخدام المعايير الدنيا لحماية الطفل كإطار عمل.  </w:t>
            </w:r>
          </w:p>
        </w:tc>
        <w:tc>
          <w:tcPr>
            <w:tcW w:w="1134" w:type="dxa"/>
            <w:tcBorders>
              <w:top w:val="single" w:sz="6" w:space="0" w:color="000000"/>
              <w:left w:val="single" w:sz="6" w:space="0" w:color="000000"/>
              <w:bottom w:val="single" w:sz="6" w:space="0" w:color="000000"/>
              <w:right w:val="single" w:sz="6" w:space="0" w:color="000000"/>
            </w:tcBorders>
          </w:tcPr>
          <w:p w14:paraId="61C0A4C3" w14:textId="77777777" w:rsidR="00C2671E" w:rsidRPr="00CC188A" w:rsidRDefault="00C2671E" w:rsidP="00494517">
            <w:pPr>
              <w:bidi/>
              <w:ind w:left="450"/>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67DC075" w14:textId="77777777" w:rsidR="00C2671E" w:rsidRPr="00CC188A" w:rsidRDefault="00C2671E" w:rsidP="00494517">
            <w:pPr>
              <w:bidi/>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14D0666" w14:textId="77777777" w:rsidR="00C2671E" w:rsidRPr="00CC188A" w:rsidRDefault="00C2671E" w:rsidP="00494517">
            <w:pPr>
              <w:bidi/>
              <w:ind w:left="450"/>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2FB2BE1" w14:textId="77777777" w:rsidR="00C2671E" w:rsidRPr="00CC188A" w:rsidRDefault="00C2671E" w:rsidP="00494517">
            <w:pPr>
              <w:bidi/>
              <w:ind w:left="450"/>
              <w:rPr>
                <w:lang w:val="en-GB"/>
              </w:rPr>
            </w:pPr>
          </w:p>
        </w:tc>
      </w:tr>
    </w:tbl>
    <w:p w14:paraId="6DC1CAA6" w14:textId="77777777" w:rsidR="0002151D" w:rsidRDefault="0002151D" w:rsidP="0002151D">
      <w:pPr>
        <w:pStyle w:val="Heading1"/>
        <w:bidi/>
      </w:pPr>
      <w:r>
        <w:rPr>
          <w:rFonts w:hint="cs"/>
          <w:rtl/>
        </w:rPr>
        <w:t>هل من أسئلة؟</w:t>
      </w:r>
    </w:p>
    <w:p w14:paraId="3E883DB6" w14:textId="77777777" w:rsidR="0002151D" w:rsidRPr="009B72B2" w:rsidRDefault="0002151D" w:rsidP="0002151D">
      <w:pPr>
        <w:bidi/>
        <w:rPr>
          <w:lang w:val="en-GB"/>
        </w:rPr>
      </w:pPr>
      <w:r>
        <w:rPr>
          <w:rFonts w:hint="cs"/>
          <w:rtl/>
        </w:rPr>
        <w:t xml:space="preserve">الرجاء التواصل مع مجموعة عمل المعايير الدنيا لحماية الطفل على </w:t>
      </w:r>
      <w:hyperlink r:id="rId10" w:history="1">
        <w:r w:rsidRPr="007327DB">
          <w:rPr>
            <w:rStyle w:val="Hyperlink"/>
            <w:color w:val="0388C5" w:themeColor="accent5"/>
          </w:rPr>
          <w:t>cpms.wg@alliancecpha.org</w:t>
        </w:r>
      </w:hyperlink>
      <w:r>
        <w:rPr>
          <w:rFonts w:hint="cs"/>
          <w:rtl/>
        </w:rPr>
        <w:t xml:space="preserve"> أو زيارة موقعنا على </w:t>
      </w:r>
      <w:hyperlink r:id="rId11" w:history="1">
        <w:r w:rsidRPr="007327DB">
          <w:rPr>
            <w:rStyle w:val="Hyperlink"/>
            <w:color w:val="0388C5" w:themeColor="accent5"/>
            <w:lang w:val="en-GB"/>
          </w:rPr>
          <w:t>https://alliancecpha.org/en/CPMS_home</w:t>
        </w:r>
      </w:hyperlink>
      <w:r>
        <w:rPr>
          <w:rFonts w:hint="cs"/>
          <w:rtl/>
        </w:rPr>
        <w:t>.</w:t>
      </w:r>
    </w:p>
    <w:sectPr w:rsidR="0002151D" w:rsidRPr="009B72B2" w:rsidSect="00792704">
      <w:headerReference w:type="default" r:id="rId12"/>
      <w:footerReference w:type="even" r:id="rId13"/>
      <w:footerReference w:type="default" r:id="rId14"/>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AE9B8" w14:textId="77777777" w:rsidR="00FA7464" w:rsidRDefault="00FA7464" w:rsidP="007056C9">
      <w:pPr>
        <w:spacing w:after="0" w:line="240" w:lineRule="auto"/>
      </w:pPr>
      <w:r>
        <w:separator/>
      </w:r>
    </w:p>
  </w:endnote>
  <w:endnote w:type="continuationSeparator" w:id="0">
    <w:p w14:paraId="19F442CD" w14:textId="77777777" w:rsidR="00FA7464" w:rsidRDefault="00FA7464"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auto"/>
    <w:pitch w:val="variable"/>
    <w:sig w:usb0="A00002FF"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B5612" w14:textId="77777777" w:rsidR="00FA7464" w:rsidRDefault="00FA7464" w:rsidP="007056C9">
      <w:pPr>
        <w:spacing w:after="0" w:line="240" w:lineRule="auto"/>
      </w:pPr>
      <w:r>
        <w:separator/>
      </w:r>
    </w:p>
  </w:footnote>
  <w:footnote w:type="continuationSeparator" w:id="0">
    <w:p w14:paraId="6DBD0EF1" w14:textId="77777777" w:rsidR="00FA7464" w:rsidRDefault="00FA7464"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13C1E62C" w:rsidR="00792704" w:rsidRPr="00792704" w:rsidRDefault="00792704" w:rsidP="0009020E">
    <w:pPr>
      <w:tabs>
        <w:tab w:val="center" w:pos="4680"/>
        <w:tab w:val="right" w:pos="9360"/>
      </w:tabs>
      <w:spacing w:after="0" w:line="240" w:lineRule="auto"/>
      <w:rPr>
        <w:color w:val="70345C" w:themeColor="accent2" w:themeShade="BF"/>
        <w:sz w:val="28"/>
        <w:szCs w:val="28"/>
      </w:rPr>
    </w:pPr>
    <w:r w:rsidRPr="00792704">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34E82B0D" wp14:editId="49C86E55">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6650BD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002231B3">
      <w:rPr>
        <w:rFonts w:hint="cs"/>
        <w:color w:val="70345C" w:themeColor="accent2" w:themeShade="BF"/>
        <w:sz w:val="28"/>
        <w:szCs w:val="28"/>
        <w:rtl/>
      </w:rPr>
      <w:t>مجموعة الأدوات لت</w:t>
    </w:r>
    <w:r w:rsidR="0009020E">
      <w:rPr>
        <w:rFonts w:hint="cs"/>
        <w:color w:val="70345C" w:themeColor="accent2" w:themeShade="BF"/>
        <w:sz w:val="28"/>
        <w:szCs w:val="28"/>
        <w:rtl/>
      </w:rPr>
      <w:t>نفيذ</w:t>
    </w:r>
    <w:r w:rsidR="002231B3">
      <w:rPr>
        <w:rFonts w:hint="cs"/>
        <w:color w:val="70345C" w:themeColor="accent2" w:themeShade="BF"/>
        <w:sz w:val="28"/>
        <w:szCs w:val="28"/>
        <w:rtl/>
      </w:rPr>
      <w:t xml:space="preserve"> المعايير الدنيا لحماية الطفل 2019 </w:t>
    </w:r>
  </w:p>
  <w:p w14:paraId="73963783" w14:textId="5EFB1D9F" w:rsidR="00B629EB" w:rsidRDefault="00B629EB" w:rsidP="00792704">
    <w:pPr>
      <w:pStyle w:val="Header"/>
    </w:pPr>
  </w:p>
  <w:p w14:paraId="2F6A00E6" w14:textId="77777777" w:rsidR="00792704" w:rsidRPr="00792704" w:rsidRDefault="00792704" w:rsidP="0079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EF1F20"/>
    <w:multiLevelType w:val="hybridMultilevel"/>
    <w:tmpl w:val="57245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5E3BE2"/>
    <w:multiLevelType w:val="multilevel"/>
    <w:tmpl w:val="17347866"/>
    <w:lvl w:ilvl="0">
      <w:start w:val="172"/>
      <w:numFmt w:val="bullet"/>
      <w:lvlText w:val="◻"/>
      <w:lvlJc w:val="left"/>
      <w:pPr>
        <w:ind w:left="738" w:hanging="288"/>
      </w:pPr>
      <w:rPr>
        <w:rFonts w:ascii="Noto Sans Symbols" w:eastAsia="Noto Sans Symbols" w:hAnsi="Noto Sans Symbols" w:cs="Noto Sans Symbols"/>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6F75A6"/>
    <w:multiLevelType w:val="hybridMultilevel"/>
    <w:tmpl w:val="F59AA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3B50"/>
    <w:multiLevelType w:val="hybridMultilevel"/>
    <w:tmpl w:val="4C48F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A9280F"/>
    <w:multiLevelType w:val="multilevel"/>
    <w:tmpl w:val="044AC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551480"/>
    <w:multiLevelType w:val="multilevel"/>
    <w:tmpl w:val="5C4C2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A7501A"/>
    <w:multiLevelType w:val="hybridMultilevel"/>
    <w:tmpl w:val="5CC8D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70093"/>
    <w:multiLevelType w:val="multilevel"/>
    <w:tmpl w:val="69E2A34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9"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514B0C"/>
    <w:multiLevelType w:val="hybridMultilevel"/>
    <w:tmpl w:val="AC5A7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9"/>
  </w:num>
  <w:num w:numId="9">
    <w:abstractNumId w:val="11"/>
  </w:num>
  <w:num w:numId="10">
    <w:abstractNumId w:val="20"/>
  </w:num>
  <w:num w:numId="11">
    <w:abstractNumId w:val="12"/>
  </w:num>
  <w:num w:numId="12">
    <w:abstractNumId w:val="17"/>
  </w:num>
  <w:num w:numId="13">
    <w:abstractNumId w:val="8"/>
  </w:num>
  <w:num w:numId="14">
    <w:abstractNumId w:val="15"/>
  </w:num>
  <w:num w:numId="15">
    <w:abstractNumId w:val="18"/>
  </w:num>
  <w:num w:numId="16">
    <w:abstractNumId w:val="21"/>
  </w:num>
  <w:num w:numId="17">
    <w:abstractNumId w:val="7"/>
  </w:num>
  <w:num w:numId="18">
    <w:abstractNumId w:val="14"/>
  </w:num>
  <w:num w:numId="19">
    <w:abstractNumId w:val="13"/>
  </w:num>
  <w:num w:numId="20">
    <w:abstractNumId w:val="6"/>
  </w:num>
  <w:num w:numId="21">
    <w:abstractNumId w:val="1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07478"/>
    <w:rsid w:val="000113B5"/>
    <w:rsid w:val="000118B6"/>
    <w:rsid w:val="00015AE0"/>
    <w:rsid w:val="00016FEB"/>
    <w:rsid w:val="0002151D"/>
    <w:rsid w:val="0002768C"/>
    <w:rsid w:val="00032088"/>
    <w:rsid w:val="0004041A"/>
    <w:rsid w:val="00043DF4"/>
    <w:rsid w:val="000521F5"/>
    <w:rsid w:val="000551C1"/>
    <w:rsid w:val="00055CFB"/>
    <w:rsid w:val="00070047"/>
    <w:rsid w:val="00071860"/>
    <w:rsid w:val="000815D8"/>
    <w:rsid w:val="0009020E"/>
    <w:rsid w:val="000A1FA2"/>
    <w:rsid w:val="000A3C25"/>
    <w:rsid w:val="000A4D0B"/>
    <w:rsid w:val="000B36CD"/>
    <w:rsid w:val="001008AA"/>
    <w:rsid w:val="00102C0A"/>
    <w:rsid w:val="00114D99"/>
    <w:rsid w:val="001162ED"/>
    <w:rsid w:val="0012015D"/>
    <w:rsid w:val="00122885"/>
    <w:rsid w:val="001258A8"/>
    <w:rsid w:val="001413AA"/>
    <w:rsid w:val="0014593B"/>
    <w:rsid w:val="00167184"/>
    <w:rsid w:val="00173DB3"/>
    <w:rsid w:val="0017581E"/>
    <w:rsid w:val="001A111E"/>
    <w:rsid w:val="001B49A3"/>
    <w:rsid w:val="001B75C6"/>
    <w:rsid w:val="001D394C"/>
    <w:rsid w:val="001D7F7F"/>
    <w:rsid w:val="001E1507"/>
    <w:rsid w:val="001E6CDD"/>
    <w:rsid w:val="001E7894"/>
    <w:rsid w:val="001F3DED"/>
    <w:rsid w:val="00200E93"/>
    <w:rsid w:val="00221051"/>
    <w:rsid w:val="002231B3"/>
    <w:rsid w:val="00236E57"/>
    <w:rsid w:val="002440FA"/>
    <w:rsid w:val="0024593E"/>
    <w:rsid w:val="002522AB"/>
    <w:rsid w:val="00264B8C"/>
    <w:rsid w:val="00266E2A"/>
    <w:rsid w:val="00272DB4"/>
    <w:rsid w:val="002801C9"/>
    <w:rsid w:val="002B7BB4"/>
    <w:rsid w:val="002C16F2"/>
    <w:rsid w:val="002C55BC"/>
    <w:rsid w:val="002E4137"/>
    <w:rsid w:val="002F5F38"/>
    <w:rsid w:val="00306D58"/>
    <w:rsid w:val="0031555B"/>
    <w:rsid w:val="00324912"/>
    <w:rsid w:val="00332C25"/>
    <w:rsid w:val="0033320B"/>
    <w:rsid w:val="00335752"/>
    <w:rsid w:val="00335E68"/>
    <w:rsid w:val="00346847"/>
    <w:rsid w:val="0036000A"/>
    <w:rsid w:val="00362F3A"/>
    <w:rsid w:val="0036475E"/>
    <w:rsid w:val="00375690"/>
    <w:rsid w:val="0038071B"/>
    <w:rsid w:val="003901EF"/>
    <w:rsid w:val="003B184F"/>
    <w:rsid w:val="003D684C"/>
    <w:rsid w:val="003E3C90"/>
    <w:rsid w:val="00422343"/>
    <w:rsid w:val="00434BE2"/>
    <w:rsid w:val="00442EED"/>
    <w:rsid w:val="00444A0D"/>
    <w:rsid w:val="00455C79"/>
    <w:rsid w:val="00466EDD"/>
    <w:rsid w:val="00481F23"/>
    <w:rsid w:val="0048645E"/>
    <w:rsid w:val="00494517"/>
    <w:rsid w:val="00495A21"/>
    <w:rsid w:val="00496CE9"/>
    <w:rsid w:val="004A5C6A"/>
    <w:rsid w:val="004C14F5"/>
    <w:rsid w:val="004D5499"/>
    <w:rsid w:val="004E50CD"/>
    <w:rsid w:val="004E7D62"/>
    <w:rsid w:val="004F1A49"/>
    <w:rsid w:val="004F7CEE"/>
    <w:rsid w:val="00520EA5"/>
    <w:rsid w:val="005216FA"/>
    <w:rsid w:val="005265F0"/>
    <w:rsid w:val="005326B8"/>
    <w:rsid w:val="0054748B"/>
    <w:rsid w:val="005601BC"/>
    <w:rsid w:val="00562501"/>
    <w:rsid w:val="00566755"/>
    <w:rsid w:val="0059398D"/>
    <w:rsid w:val="005A2950"/>
    <w:rsid w:val="005A3147"/>
    <w:rsid w:val="005A41ED"/>
    <w:rsid w:val="005B4600"/>
    <w:rsid w:val="005B6775"/>
    <w:rsid w:val="005C243B"/>
    <w:rsid w:val="005C2B62"/>
    <w:rsid w:val="005E44A4"/>
    <w:rsid w:val="005F203E"/>
    <w:rsid w:val="0060646B"/>
    <w:rsid w:val="00613C8B"/>
    <w:rsid w:val="0062325D"/>
    <w:rsid w:val="006269A6"/>
    <w:rsid w:val="0062766C"/>
    <w:rsid w:val="00631B59"/>
    <w:rsid w:val="00632CD0"/>
    <w:rsid w:val="00644D21"/>
    <w:rsid w:val="006901CE"/>
    <w:rsid w:val="00693399"/>
    <w:rsid w:val="00696B6B"/>
    <w:rsid w:val="006A0D14"/>
    <w:rsid w:val="006A77BF"/>
    <w:rsid w:val="006B17E6"/>
    <w:rsid w:val="006B6116"/>
    <w:rsid w:val="006D70C9"/>
    <w:rsid w:val="006E7992"/>
    <w:rsid w:val="007056C9"/>
    <w:rsid w:val="007225B3"/>
    <w:rsid w:val="00730614"/>
    <w:rsid w:val="00730F05"/>
    <w:rsid w:val="00743B97"/>
    <w:rsid w:val="0074643B"/>
    <w:rsid w:val="00763989"/>
    <w:rsid w:val="00772A49"/>
    <w:rsid w:val="00792704"/>
    <w:rsid w:val="00797699"/>
    <w:rsid w:val="007A1A42"/>
    <w:rsid w:val="007B1936"/>
    <w:rsid w:val="007C6C03"/>
    <w:rsid w:val="007C6D87"/>
    <w:rsid w:val="007D0633"/>
    <w:rsid w:val="007D4390"/>
    <w:rsid w:val="007D6403"/>
    <w:rsid w:val="007F281B"/>
    <w:rsid w:val="00800EBB"/>
    <w:rsid w:val="00802017"/>
    <w:rsid w:val="008166CB"/>
    <w:rsid w:val="008175CA"/>
    <w:rsid w:val="00822224"/>
    <w:rsid w:val="008266F6"/>
    <w:rsid w:val="0084110C"/>
    <w:rsid w:val="00842753"/>
    <w:rsid w:val="00867C33"/>
    <w:rsid w:val="00871A58"/>
    <w:rsid w:val="00893E48"/>
    <w:rsid w:val="008A1708"/>
    <w:rsid w:val="008B462C"/>
    <w:rsid w:val="008C14DA"/>
    <w:rsid w:val="008F1B5D"/>
    <w:rsid w:val="008F6735"/>
    <w:rsid w:val="008F781E"/>
    <w:rsid w:val="00912581"/>
    <w:rsid w:val="00912947"/>
    <w:rsid w:val="009262C9"/>
    <w:rsid w:val="00947CD1"/>
    <w:rsid w:val="00954ABB"/>
    <w:rsid w:val="00955FE1"/>
    <w:rsid w:val="009626FF"/>
    <w:rsid w:val="0096565E"/>
    <w:rsid w:val="00982CE5"/>
    <w:rsid w:val="00986AA0"/>
    <w:rsid w:val="009A0631"/>
    <w:rsid w:val="009A2600"/>
    <w:rsid w:val="009A4709"/>
    <w:rsid w:val="009C7619"/>
    <w:rsid w:val="009F0410"/>
    <w:rsid w:val="009F0431"/>
    <w:rsid w:val="009F2C44"/>
    <w:rsid w:val="009F6B89"/>
    <w:rsid w:val="00A140E3"/>
    <w:rsid w:val="00A17241"/>
    <w:rsid w:val="00A277D2"/>
    <w:rsid w:val="00A341D9"/>
    <w:rsid w:val="00A43128"/>
    <w:rsid w:val="00A51494"/>
    <w:rsid w:val="00A554BB"/>
    <w:rsid w:val="00A6588A"/>
    <w:rsid w:val="00A8236D"/>
    <w:rsid w:val="00A8663C"/>
    <w:rsid w:val="00A903D6"/>
    <w:rsid w:val="00AB7ED4"/>
    <w:rsid w:val="00AC3F7D"/>
    <w:rsid w:val="00AD6C6D"/>
    <w:rsid w:val="00AF1A62"/>
    <w:rsid w:val="00B146A7"/>
    <w:rsid w:val="00B1716F"/>
    <w:rsid w:val="00B24732"/>
    <w:rsid w:val="00B26A9D"/>
    <w:rsid w:val="00B473D7"/>
    <w:rsid w:val="00B4785C"/>
    <w:rsid w:val="00B53841"/>
    <w:rsid w:val="00B629EB"/>
    <w:rsid w:val="00B6340C"/>
    <w:rsid w:val="00B71066"/>
    <w:rsid w:val="00B74555"/>
    <w:rsid w:val="00BA0343"/>
    <w:rsid w:val="00BB23E1"/>
    <w:rsid w:val="00BB2D71"/>
    <w:rsid w:val="00BB6AB0"/>
    <w:rsid w:val="00BC1C13"/>
    <w:rsid w:val="00BF0FE6"/>
    <w:rsid w:val="00BF46B5"/>
    <w:rsid w:val="00BF66FA"/>
    <w:rsid w:val="00C0538F"/>
    <w:rsid w:val="00C2240C"/>
    <w:rsid w:val="00C2671E"/>
    <w:rsid w:val="00C44085"/>
    <w:rsid w:val="00C51A81"/>
    <w:rsid w:val="00C719CF"/>
    <w:rsid w:val="00C8203B"/>
    <w:rsid w:val="00C87AB1"/>
    <w:rsid w:val="00C96D28"/>
    <w:rsid w:val="00CA2586"/>
    <w:rsid w:val="00CB067C"/>
    <w:rsid w:val="00CB2588"/>
    <w:rsid w:val="00CC188A"/>
    <w:rsid w:val="00CD19D3"/>
    <w:rsid w:val="00CE096A"/>
    <w:rsid w:val="00CF54C4"/>
    <w:rsid w:val="00D258FE"/>
    <w:rsid w:val="00D36F61"/>
    <w:rsid w:val="00D52FDB"/>
    <w:rsid w:val="00D53F8C"/>
    <w:rsid w:val="00D556FE"/>
    <w:rsid w:val="00D56360"/>
    <w:rsid w:val="00D5640A"/>
    <w:rsid w:val="00D92982"/>
    <w:rsid w:val="00DA75AC"/>
    <w:rsid w:val="00DB318A"/>
    <w:rsid w:val="00DC0276"/>
    <w:rsid w:val="00DC1BDA"/>
    <w:rsid w:val="00DC24B0"/>
    <w:rsid w:val="00DC53DB"/>
    <w:rsid w:val="00DD0F5B"/>
    <w:rsid w:val="00DD30FA"/>
    <w:rsid w:val="00DD578B"/>
    <w:rsid w:val="00DE4E33"/>
    <w:rsid w:val="00E0506C"/>
    <w:rsid w:val="00E11AE8"/>
    <w:rsid w:val="00E234E3"/>
    <w:rsid w:val="00E23904"/>
    <w:rsid w:val="00E54B53"/>
    <w:rsid w:val="00E64495"/>
    <w:rsid w:val="00E66556"/>
    <w:rsid w:val="00E66AEE"/>
    <w:rsid w:val="00E6735A"/>
    <w:rsid w:val="00E90C3F"/>
    <w:rsid w:val="00E936D1"/>
    <w:rsid w:val="00EA12B8"/>
    <w:rsid w:val="00EA183C"/>
    <w:rsid w:val="00EA546B"/>
    <w:rsid w:val="00EA72FB"/>
    <w:rsid w:val="00EB2844"/>
    <w:rsid w:val="00EB4B19"/>
    <w:rsid w:val="00EC3F3B"/>
    <w:rsid w:val="00EC421F"/>
    <w:rsid w:val="00EC768B"/>
    <w:rsid w:val="00EF06A8"/>
    <w:rsid w:val="00EF399D"/>
    <w:rsid w:val="00F07C55"/>
    <w:rsid w:val="00F1660B"/>
    <w:rsid w:val="00F22521"/>
    <w:rsid w:val="00F22D66"/>
    <w:rsid w:val="00F35795"/>
    <w:rsid w:val="00F44B2E"/>
    <w:rsid w:val="00F47114"/>
    <w:rsid w:val="00F60686"/>
    <w:rsid w:val="00F94603"/>
    <w:rsid w:val="00FA3A65"/>
    <w:rsid w:val="00FA7464"/>
    <w:rsid w:val="00FB4CB9"/>
    <w:rsid w:val="00FC1527"/>
    <w:rsid w:val="00FD00E0"/>
    <w:rsid w:val="00FD0106"/>
    <w:rsid w:val="00FD2DD3"/>
    <w:rsid w:val="00FF2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iancecpha.org/en/CPMS_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ms.wg@alliancecpha.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8059D-A64D-4C06-AF99-ADF9E693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3917</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ما هو الترسيخ في المنظومة؟ </vt:lpstr>
      <vt:lpstr>قائمة تحقّق لمجموعات تنسيق حماية الطفل</vt:lpstr>
      <vt:lpstr>    قائمة التحقّق من ترسيخ المعايير الدنيا لحماية الطفل في المنظومة لمجموعات تنسيق ح</vt:lpstr>
      <vt:lpstr>هل من أسئلة؟</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3</cp:revision>
  <dcterms:created xsi:type="dcterms:W3CDTF">2021-04-11T22:22:00Z</dcterms:created>
  <dcterms:modified xsi:type="dcterms:W3CDTF">2021-04-11T22:24:00Z</dcterms:modified>
</cp:coreProperties>
</file>